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1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rPr>
              <w:t>泰安市华佑润泽石化有限公司大汶口镇泰安市华佑润泽石化有限公司改造项目安全设施竣工验收评价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08B0C8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该站</w:t>
            </w:r>
            <w:r>
              <w:rPr>
                <w:rFonts w:hint="eastAsia" w:asciiTheme="minorEastAsia" w:hAnsiTheme="minorEastAsia" w:eastAsiaTheme="minorEastAsia" w:cstheme="minorEastAsia"/>
                <w:color w:val="auto"/>
                <w:sz w:val="21"/>
                <w:szCs w:val="21"/>
                <w:highlight w:val="none"/>
                <w:lang w:val="en-US" w:eastAsia="zh-CN"/>
              </w:rPr>
              <w:t>原为</w:t>
            </w:r>
            <w:r>
              <w:rPr>
                <w:rFonts w:hint="eastAsia" w:asciiTheme="minorEastAsia" w:hAnsiTheme="minorEastAsia" w:eastAsiaTheme="minorEastAsia" w:cstheme="minorEastAsia"/>
                <w:color w:val="auto"/>
                <w:sz w:val="21"/>
                <w:szCs w:val="21"/>
                <w:highlight w:val="none"/>
                <w:lang w:eastAsia="zh-CN"/>
              </w:rPr>
              <w:t>中国石化山东泰山石油股份有限公司泰安第四十加油站，</w:t>
            </w:r>
            <w:r>
              <w:rPr>
                <w:rFonts w:hint="eastAsia" w:asciiTheme="minorEastAsia" w:hAnsiTheme="minorEastAsia" w:eastAsiaTheme="minorEastAsia" w:cstheme="minorEastAsia"/>
                <w:color w:val="auto"/>
                <w:sz w:val="21"/>
                <w:szCs w:val="21"/>
                <w:highlight w:val="none"/>
                <w:lang w:val="en-US" w:eastAsia="zh-CN"/>
              </w:rPr>
              <w:t>现房租到期后退租，由</w:t>
            </w:r>
            <w:r>
              <w:rPr>
                <w:rFonts w:hint="eastAsia" w:asciiTheme="minorEastAsia" w:hAnsiTheme="minorEastAsia" w:eastAsiaTheme="minorEastAsia" w:cstheme="minorEastAsia"/>
                <w:color w:val="auto"/>
                <w:sz w:val="21"/>
                <w:szCs w:val="21"/>
                <w:highlight w:val="none"/>
                <w:lang w:eastAsia="zh-CN"/>
              </w:rPr>
              <w:t>泰安市华佑润泽石化有限公司</w:t>
            </w:r>
            <w:r>
              <w:rPr>
                <w:rFonts w:hint="eastAsia" w:asciiTheme="minorEastAsia" w:hAnsiTheme="minorEastAsia" w:eastAsiaTheme="minorEastAsia" w:cstheme="minorEastAsia"/>
                <w:color w:val="auto"/>
                <w:sz w:val="21"/>
                <w:szCs w:val="21"/>
                <w:highlight w:val="none"/>
                <w:lang w:val="en-US" w:eastAsia="zh-CN"/>
              </w:rPr>
              <w:t>承租，于2025年7月30日与卢方鲁签订租赁合同。该站原</w:t>
            </w:r>
            <w:r>
              <w:rPr>
                <w:rFonts w:hint="eastAsia" w:asciiTheme="minorEastAsia" w:hAnsiTheme="minorEastAsia" w:eastAsiaTheme="minorEastAsia" w:cstheme="minorEastAsia"/>
                <w:color w:val="auto"/>
                <w:sz w:val="21"/>
                <w:szCs w:val="21"/>
                <w:highlight w:val="none"/>
                <w:lang w:eastAsia="zh-CN"/>
              </w:rPr>
              <w:t>有4台30m³埋地双层储罐（1台92#乙醇汽油罐、1台95#汽油罐、2台柴油罐），</w:t>
            </w:r>
            <w:r>
              <w:rPr>
                <w:rFonts w:hint="eastAsia" w:asciiTheme="minorEastAsia" w:hAnsiTheme="minorEastAsia" w:eastAsiaTheme="minorEastAsia" w:cstheme="minorEastAsia"/>
                <w:color w:val="auto"/>
                <w:sz w:val="21"/>
                <w:szCs w:val="21"/>
                <w:highlight w:val="none"/>
                <w:lang w:val="en-US" w:eastAsia="zh-CN"/>
              </w:rPr>
              <w:t>3台自吸式加油机（</w:t>
            </w:r>
            <w:r>
              <w:rPr>
                <w:rFonts w:hint="eastAsia" w:asciiTheme="minorEastAsia" w:hAnsiTheme="minorEastAsia" w:eastAsiaTheme="minorEastAsia" w:cstheme="minorEastAsia"/>
                <w:color w:val="auto"/>
                <w:sz w:val="21"/>
                <w:szCs w:val="21"/>
                <w:highlight w:val="none"/>
                <w:lang w:eastAsia="zh-CN"/>
              </w:rPr>
              <w:t>2台单枪</w:t>
            </w:r>
            <w:r>
              <w:rPr>
                <w:rFonts w:hint="eastAsia" w:asciiTheme="minorEastAsia" w:hAnsiTheme="minorEastAsia" w:eastAsiaTheme="minorEastAsia" w:cstheme="minorEastAsia"/>
                <w:color w:val="auto"/>
                <w:sz w:val="21"/>
                <w:szCs w:val="21"/>
                <w:highlight w:val="none"/>
                <w:lang w:val="en-US" w:eastAsia="zh-CN"/>
              </w:rPr>
              <w:t>汽油</w:t>
            </w:r>
            <w:r>
              <w:rPr>
                <w:rFonts w:hint="eastAsia" w:asciiTheme="minorEastAsia" w:hAnsiTheme="minorEastAsia" w:eastAsiaTheme="minorEastAsia" w:cstheme="minorEastAsia"/>
                <w:color w:val="auto"/>
                <w:sz w:val="21"/>
                <w:szCs w:val="21"/>
                <w:highlight w:val="none"/>
                <w:lang w:eastAsia="zh-CN"/>
              </w:rPr>
              <w:t>加油机，1台双枪</w:t>
            </w:r>
            <w:r>
              <w:rPr>
                <w:rFonts w:hint="eastAsia" w:asciiTheme="minorEastAsia" w:hAnsiTheme="minorEastAsia" w:eastAsiaTheme="minorEastAsia" w:cstheme="minorEastAsia"/>
                <w:color w:val="auto"/>
                <w:sz w:val="21"/>
                <w:szCs w:val="21"/>
                <w:highlight w:val="none"/>
                <w:lang w:val="en-US" w:eastAsia="zh-CN"/>
              </w:rPr>
              <w:t>柴油</w:t>
            </w:r>
            <w:r>
              <w:rPr>
                <w:rFonts w:hint="eastAsia" w:asciiTheme="minorEastAsia" w:hAnsiTheme="minorEastAsia" w:eastAsiaTheme="minorEastAsia" w:cstheme="minorEastAsia"/>
                <w:color w:val="auto"/>
                <w:sz w:val="21"/>
                <w:szCs w:val="21"/>
                <w:highlight w:val="none"/>
                <w:lang w:eastAsia="zh-CN"/>
              </w:rPr>
              <w:t>加油机</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w:t>
            </w:r>
          </w:p>
          <w:p w14:paraId="08668D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cs="宋体" w:eastAsiaTheme="minorEastAsia"/>
                <w:b w:val="0"/>
                <w:bCs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现泰安市华佑润泽石化有限公司对该站</w:t>
            </w:r>
            <w:r>
              <w:rPr>
                <w:rFonts w:hint="eastAsia" w:asciiTheme="minorEastAsia" w:hAnsiTheme="minorEastAsia" w:eastAsiaTheme="minorEastAsia" w:cstheme="minorEastAsia"/>
                <w:color w:val="auto"/>
                <w:sz w:val="21"/>
                <w:szCs w:val="21"/>
                <w:highlight w:val="none"/>
                <w:lang w:val="en-US" w:eastAsia="zh-CN"/>
              </w:rPr>
              <w:t>加油机、罩棚</w:t>
            </w:r>
            <w:r>
              <w:rPr>
                <w:rFonts w:hint="eastAsia" w:asciiTheme="minorEastAsia" w:hAnsiTheme="minorEastAsia" w:eastAsiaTheme="minorEastAsia" w:cstheme="minorEastAsia"/>
                <w:color w:val="auto"/>
                <w:sz w:val="21"/>
                <w:szCs w:val="21"/>
                <w:highlight w:val="none"/>
                <w:lang w:eastAsia="zh-CN"/>
              </w:rPr>
              <w:t>进行改造。</w:t>
            </w:r>
            <w:r>
              <w:rPr>
                <w:rFonts w:hint="eastAsia" w:asciiTheme="minorEastAsia" w:hAnsiTheme="minorEastAsia" w:eastAsiaTheme="minorEastAsia" w:cstheme="minorEastAsia"/>
                <w:color w:val="auto"/>
                <w:sz w:val="21"/>
                <w:szCs w:val="21"/>
                <w:highlight w:val="none"/>
                <w:lang w:val="en-US" w:eastAsia="zh-CN"/>
              </w:rPr>
              <w:t>改造</w:t>
            </w:r>
            <w:r>
              <w:rPr>
                <w:rFonts w:hint="eastAsia" w:asciiTheme="minorEastAsia" w:hAnsiTheme="minorEastAsia" w:eastAsiaTheme="minorEastAsia" w:cstheme="minorEastAsia"/>
                <w:color w:val="auto"/>
                <w:sz w:val="21"/>
                <w:szCs w:val="21"/>
                <w:highlight w:val="none"/>
              </w:rPr>
              <w:t>内容为：</w:t>
            </w:r>
            <w:r>
              <w:rPr>
                <w:rFonts w:hint="eastAsia" w:asciiTheme="minorEastAsia" w:hAnsiTheme="minorEastAsia" w:eastAsiaTheme="minorEastAsia" w:cstheme="minorEastAsia"/>
                <w:color w:val="auto"/>
                <w:sz w:val="21"/>
                <w:szCs w:val="21"/>
                <w:highlight w:val="none"/>
                <w:lang w:val="en-US" w:eastAsia="zh-CN"/>
              </w:rPr>
              <w:t>拆除原有加油机，更换为4台双</w:t>
            </w:r>
            <w:r>
              <w:rPr>
                <w:rFonts w:hint="eastAsia" w:asciiTheme="minorEastAsia" w:hAnsiTheme="minorEastAsia" w:eastAsiaTheme="minorEastAsia" w:cstheme="minorEastAsia"/>
                <w:color w:val="auto"/>
                <w:sz w:val="21"/>
                <w:szCs w:val="21"/>
                <w:highlight w:val="none"/>
              </w:rPr>
              <w:t>枪</w:t>
            </w:r>
            <w:r>
              <w:rPr>
                <w:rFonts w:hint="eastAsia" w:asciiTheme="minorEastAsia" w:hAnsiTheme="minorEastAsia" w:eastAsiaTheme="minorEastAsia" w:cstheme="minorEastAsia"/>
                <w:color w:val="auto"/>
                <w:sz w:val="21"/>
                <w:szCs w:val="21"/>
                <w:highlight w:val="none"/>
                <w:lang w:val="en-US" w:eastAsia="zh-CN"/>
              </w:rPr>
              <w:t>潜油泵式</w:t>
            </w:r>
            <w:r>
              <w:rPr>
                <w:rFonts w:hint="eastAsia" w:asciiTheme="minorEastAsia" w:hAnsiTheme="minorEastAsia" w:eastAsiaTheme="minorEastAsia" w:cstheme="minorEastAsia"/>
                <w:color w:val="auto"/>
                <w:sz w:val="21"/>
                <w:szCs w:val="21"/>
                <w:highlight w:val="none"/>
              </w:rPr>
              <w:t>加油机</w:t>
            </w:r>
            <w:r>
              <w:rPr>
                <w:rFonts w:hint="eastAsia" w:asciiTheme="minorEastAsia" w:hAnsiTheme="minorEastAsia" w:eastAsiaTheme="minorEastAsia" w:cstheme="minorEastAsia"/>
                <w:color w:val="auto"/>
                <w:sz w:val="21"/>
                <w:szCs w:val="21"/>
                <w:highlight w:val="none"/>
                <w:lang w:val="en-US" w:eastAsia="zh-CN"/>
              </w:rPr>
              <w:t>（2台92#/95#汽油加油机，2台柴油加油机）并敷设工艺管线；原有罩棚改建，由2个罩棚柱改为4个罩棚柱</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依托原有</w:t>
            </w:r>
            <w:r>
              <w:rPr>
                <w:rFonts w:hint="eastAsia" w:asciiTheme="minorEastAsia" w:hAnsiTheme="minorEastAsia" w:eastAsiaTheme="minorEastAsia" w:cstheme="minorEastAsia"/>
                <w:color w:val="auto"/>
                <w:sz w:val="21"/>
                <w:szCs w:val="21"/>
                <w:highlight w:val="none"/>
                <w:lang w:eastAsia="zh-CN"/>
              </w:rPr>
              <w:t>4台30m³埋地双层储罐（1台92#汽油罐、1台95#汽油罐、2台柴油罐</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油品折合总容积</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0m³，属</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级加油站</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，新增潜油泵4台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依托原有</w:t>
            </w:r>
            <w:r>
              <w:rPr>
                <w:rFonts w:hint="eastAsia" w:asciiTheme="minorEastAsia" w:hAnsiTheme="minorEastAsia" w:eastAsiaTheme="minorEastAsia" w:cstheme="minorEastAsia"/>
                <w:color w:val="auto"/>
                <w:sz w:val="21"/>
                <w:szCs w:val="21"/>
                <w:highlight w:val="none"/>
              </w:rPr>
              <w:t>油品卸车点</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通气管</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根（位于罐区</w:t>
            </w:r>
            <w:r>
              <w:rPr>
                <w:rFonts w:hint="eastAsia" w:asciiTheme="minorEastAsia" w:hAnsiTheme="minorEastAsia" w:eastAsiaTheme="minorEastAsia" w:cstheme="minorEastAsia"/>
                <w:color w:val="auto"/>
                <w:sz w:val="21"/>
                <w:szCs w:val="21"/>
                <w:highlight w:val="none"/>
                <w:lang w:val="en-US" w:eastAsia="zh-CN"/>
              </w:rPr>
              <w:t>东侧</w:t>
            </w:r>
            <w:r>
              <w:rPr>
                <w:rFonts w:hint="eastAsia" w:asciiTheme="minorEastAsia" w:hAnsiTheme="minorEastAsia" w:eastAsiaTheme="minorEastAsia" w:cstheme="minorEastAsia"/>
                <w:color w:val="auto"/>
                <w:sz w:val="21"/>
                <w:szCs w:val="21"/>
                <w:highlight w:val="none"/>
              </w:rPr>
              <w:t>）、消防</w:t>
            </w:r>
            <w:r>
              <w:rPr>
                <w:rFonts w:hint="eastAsia" w:asciiTheme="minorEastAsia" w:hAnsiTheme="minorEastAsia" w:eastAsiaTheme="minorEastAsia" w:cstheme="minorEastAsia"/>
                <w:color w:val="auto"/>
                <w:sz w:val="21"/>
                <w:szCs w:val="21"/>
                <w:highlight w:val="none"/>
                <w:lang w:eastAsia="zh-CN"/>
              </w:rPr>
              <w:t>器材箱</w:t>
            </w:r>
            <w:r>
              <w:rPr>
                <w:rFonts w:hint="eastAsia" w:asciiTheme="minorEastAsia" w:hAnsiTheme="minorEastAsia" w:eastAsiaTheme="minorEastAsia" w:cstheme="minorEastAsia"/>
                <w:color w:val="auto"/>
                <w:sz w:val="21"/>
                <w:szCs w:val="21"/>
                <w:highlight w:val="none"/>
                <w:lang w:val="en-US" w:eastAsia="zh-CN"/>
              </w:rPr>
              <w:t>一处</w:t>
            </w:r>
            <w:r>
              <w:rPr>
                <w:rFonts w:hint="eastAsia" w:asciiTheme="minorEastAsia" w:hAnsiTheme="minorEastAsia" w:eastAsiaTheme="minorEastAsia" w:cstheme="minorEastAsia"/>
                <w:color w:val="auto"/>
                <w:sz w:val="21"/>
                <w:szCs w:val="21"/>
                <w:highlight w:val="none"/>
              </w:rPr>
              <w:t>（位于罐区</w:t>
            </w:r>
            <w:r>
              <w:rPr>
                <w:rFonts w:hint="eastAsia" w:asciiTheme="minorEastAsia" w:hAnsiTheme="minorEastAsia" w:eastAsiaTheme="minorEastAsia" w:cstheme="minorEastAsia"/>
                <w:color w:val="auto"/>
                <w:sz w:val="21"/>
                <w:szCs w:val="21"/>
                <w:highlight w:val="none"/>
                <w:lang w:val="en-US" w:eastAsia="zh-CN"/>
              </w:rPr>
              <w:t>东</w:t>
            </w:r>
            <w:r>
              <w:rPr>
                <w:rFonts w:hint="eastAsia" w:asciiTheme="minorEastAsia" w:hAnsiTheme="minorEastAsia" w:eastAsiaTheme="minorEastAsia" w:cstheme="minorEastAsia"/>
                <w:color w:val="auto"/>
                <w:sz w:val="21"/>
                <w:szCs w:val="21"/>
                <w:highlight w:val="none"/>
              </w:rPr>
              <w:t>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新增</w:t>
            </w:r>
            <w:r>
              <w:rPr>
                <w:rFonts w:hint="eastAsia" w:asciiTheme="minorEastAsia" w:hAnsiTheme="minorEastAsia" w:eastAsiaTheme="minorEastAsia" w:cstheme="minorEastAsia"/>
                <w:color w:val="auto"/>
                <w:sz w:val="21"/>
                <w:szCs w:val="21"/>
                <w:highlight w:val="none"/>
              </w:rPr>
              <w:t>油气回收处理装置</w:t>
            </w:r>
            <w:r>
              <w:rPr>
                <w:rFonts w:hint="eastAsia" w:asciiTheme="minorEastAsia" w:hAnsiTheme="minorEastAsia" w:eastAsiaTheme="minorEastAsia" w:cstheme="minorEastAsia"/>
                <w:color w:val="auto"/>
                <w:sz w:val="21"/>
                <w:szCs w:val="21"/>
                <w:highlight w:val="none"/>
                <w:lang w:val="en-US" w:eastAsia="zh-CN"/>
              </w:rPr>
              <w:t>1处</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新设</w:t>
            </w:r>
            <w:r>
              <w:rPr>
                <w:rFonts w:hint="eastAsia" w:asciiTheme="minorEastAsia" w:hAnsiTheme="minorEastAsia" w:eastAsiaTheme="minorEastAsia" w:cstheme="minorEastAsia"/>
                <w:color w:val="auto"/>
                <w:sz w:val="21"/>
                <w:szCs w:val="21"/>
                <w:highlight w:val="none"/>
              </w:rPr>
              <w:t>液位监测</w:t>
            </w:r>
            <w:r>
              <w:rPr>
                <w:rFonts w:hint="eastAsia" w:asciiTheme="minorEastAsia" w:hAnsiTheme="minorEastAsia" w:eastAsiaTheme="minorEastAsia" w:cstheme="minorEastAsia"/>
                <w:color w:val="auto"/>
                <w:sz w:val="21"/>
                <w:szCs w:val="21"/>
                <w:highlight w:val="none"/>
                <w:lang w:val="en-US" w:eastAsia="zh-CN"/>
              </w:rPr>
              <w:t>显示器</w:t>
            </w:r>
            <w:r>
              <w:rPr>
                <w:rFonts w:hint="eastAsia" w:asciiTheme="minorEastAsia" w:hAnsiTheme="minorEastAsia" w:eastAsiaTheme="minorEastAsia" w:cstheme="minorEastAsia"/>
                <w:color w:val="auto"/>
                <w:sz w:val="21"/>
                <w:szCs w:val="21"/>
                <w:highlight w:val="none"/>
              </w:rPr>
              <w:t>、防渗漏监测系统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室内外紧急切断系统、视频监控系统、可燃气体报警系统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新建洗车机一处（位于加油区南侧）。</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jc w:val="center"/>
              <w:rPr>
                <w:rFonts w:hint="default" w:ascii="宋体" w:hAnsi="宋体" w:eastAsia="宋体" w:cs="宋体"/>
                <w:sz w:val="24"/>
                <w:lang w:val="en-US" w:eastAsia="zh-CN"/>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default" w:ascii="宋体" w:hAnsi="宋体" w:eastAsia="宋体" w:cs="宋体"/>
                <w:sz w:val="24"/>
                <w:lang w:val="en-US" w:eastAsia="zh-CN"/>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2025.9.26</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2025.10.11</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2025.10.13</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2025.10.16</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安全评价报告提交时间：2025.10.22</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7F2ED1E9">
      <w:pPr>
        <w:keepNext w:val="0"/>
        <w:keepLines w:val="0"/>
        <w:pageBreakBefore/>
        <w:widowControl w:val="0"/>
        <w:kinsoku/>
        <w:wordWrap/>
        <w:overflowPunct/>
        <w:topLinePunct w:val="0"/>
        <w:autoSpaceDE/>
        <w:autoSpaceDN/>
        <w:bidi w:val="0"/>
        <w:adjustRightInd w:val="0"/>
        <w:snapToGrid w:val="0"/>
        <w:spacing w:before="360" w:beforeLines="150" w:after="120" w:afterLines="50" w:line="360" w:lineRule="auto"/>
        <w:jc w:val="center"/>
        <w:textAlignment w:val="auto"/>
        <w:outlineLvl w:val="0"/>
        <w:rPr>
          <w:rFonts w:hint="eastAsia" w:ascii="黑体" w:eastAsia="黑体"/>
          <w:color w:val="auto"/>
          <w:sz w:val="32"/>
          <w:szCs w:val="32"/>
          <w:highlight w:val="none"/>
        </w:rPr>
      </w:pPr>
      <w:bookmarkStart w:id="0" w:name="_Toc28030"/>
      <w:r>
        <w:rPr>
          <w:rFonts w:hint="eastAsia" w:ascii="黑体" w:eastAsia="黑体"/>
          <w:b/>
          <w:bCs/>
          <w:color w:val="auto"/>
          <w:sz w:val="32"/>
          <w:szCs w:val="32"/>
          <w:highlight w:val="none"/>
        </w:rPr>
        <w:t>2 建设项目概况</w:t>
      </w:r>
      <w:bookmarkEnd w:id="0"/>
    </w:p>
    <w:p w14:paraId="63F09973">
      <w:pPr>
        <w:pStyle w:val="6"/>
        <w:adjustRightInd w:val="0"/>
        <w:snapToGrid w:val="0"/>
        <w:spacing w:before="0" w:after="0" w:line="360" w:lineRule="auto"/>
        <w:jc w:val="center"/>
        <w:rPr>
          <w:rFonts w:hint="eastAsia" w:ascii="楷体_GB2312" w:eastAsia="楷体_GB2312"/>
          <w:color w:val="auto"/>
          <w:highlight w:val="none"/>
        </w:rPr>
      </w:pPr>
      <w:bookmarkStart w:id="1" w:name="_Toc2047"/>
      <w:r>
        <w:rPr>
          <w:rFonts w:hint="eastAsia" w:ascii="楷体_GB2312" w:eastAsia="楷体_GB2312"/>
          <w:color w:val="auto"/>
          <w:highlight w:val="none"/>
        </w:rPr>
        <w:t>2.1 建设单位简介</w:t>
      </w:r>
      <w:bookmarkEnd w:id="1"/>
    </w:p>
    <w:p w14:paraId="773E3178">
      <w:pPr>
        <w:topLinePunct/>
        <w:adjustRightInd w:val="0"/>
        <w:snapToGrid w:val="0"/>
        <w:spacing w:line="360" w:lineRule="auto"/>
        <w:ind w:firstLine="560" w:firstLineChars="200"/>
        <w:rPr>
          <w:rFonts w:ascii="宋体" w:hAnsi="宋体"/>
          <w:snapToGrid w:val="0"/>
          <w:color w:val="auto"/>
          <w:spacing w:val="0"/>
          <w:kern w:val="0"/>
          <w:sz w:val="28"/>
          <w:highlight w:val="none"/>
        </w:rPr>
      </w:pPr>
      <w:r>
        <w:rPr>
          <w:rFonts w:hint="eastAsia" w:ascii="宋体" w:hAnsi="宋体"/>
          <w:snapToGrid w:val="0"/>
          <w:color w:val="auto"/>
          <w:spacing w:val="0"/>
          <w:kern w:val="0"/>
          <w:sz w:val="28"/>
          <w:highlight w:val="none"/>
          <w:lang w:eastAsia="zh-CN"/>
        </w:rPr>
        <w:t>泰安市华佑润泽石化有限公司大汶口镇泰安市华佑润泽石化有限公司改造项目</w:t>
      </w:r>
      <w:r>
        <w:rPr>
          <w:rFonts w:hint="eastAsia" w:ascii="宋体" w:hAnsi="宋体"/>
          <w:snapToGrid w:val="0"/>
          <w:color w:val="auto"/>
          <w:spacing w:val="0"/>
          <w:kern w:val="0"/>
          <w:sz w:val="28"/>
          <w:highlight w:val="none"/>
        </w:rPr>
        <w:t>位于</w:t>
      </w:r>
      <w:r>
        <w:rPr>
          <w:rFonts w:hint="eastAsia" w:ascii="宋体" w:hAnsi="宋体"/>
          <w:snapToGrid w:val="0"/>
          <w:color w:val="auto"/>
          <w:spacing w:val="0"/>
          <w:kern w:val="0"/>
          <w:sz w:val="28"/>
          <w:highlight w:val="none"/>
          <w:lang w:eastAsia="zh-CN"/>
        </w:rPr>
        <w:t>山东省泰安市岱岳区大汶口镇104国道560公里处路东</w:t>
      </w:r>
      <w:r>
        <w:rPr>
          <w:rFonts w:hint="eastAsia" w:ascii="宋体" w:hAnsi="宋体"/>
          <w:snapToGrid w:val="0"/>
          <w:color w:val="auto"/>
          <w:spacing w:val="0"/>
          <w:kern w:val="0"/>
          <w:sz w:val="28"/>
          <w:highlight w:val="none"/>
        </w:rPr>
        <w:t>，公司成立于</w:t>
      </w:r>
      <w:r>
        <w:rPr>
          <w:rFonts w:hint="eastAsia" w:ascii="宋体" w:hAnsi="宋体" w:cs="宋体"/>
          <w:snapToGrid w:val="0"/>
          <w:color w:val="auto"/>
          <w:spacing w:val="0"/>
          <w:kern w:val="0"/>
          <w:sz w:val="28"/>
          <w:highlight w:val="none"/>
        </w:rPr>
        <w:t>20</w:t>
      </w:r>
      <w:r>
        <w:rPr>
          <w:rFonts w:hint="eastAsia" w:ascii="宋体" w:hAnsi="宋体" w:cs="宋体"/>
          <w:snapToGrid w:val="0"/>
          <w:color w:val="auto"/>
          <w:spacing w:val="0"/>
          <w:kern w:val="0"/>
          <w:sz w:val="28"/>
          <w:highlight w:val="none"/>
          <w:lang w:val="en-US" w:eastAsia="zh-CN"/>
        </w:rPr>
        <w:t>25</w:t>
      </w:r>
      <w:r>
        <w:rPr>
          <w:rFonts w:hint="eastAsia" w:ascii="宋体" w:hAnsi="宋体" w:cs="宋体"/>
          <w:snapToGrid w:val="0"/>
          <w:color w:val="auto"/>
          <w:spacing w:val="0"/>
          <w:kern w:val="0"/>
          <w:sz w:val="28"/>
          <w:highlight w:val="none"/>
        </w:rPr>
        <w:t>年0</w:t>
      </w:r>
      <w:r>
        <w:rPr>
          <w:rFonts w:hint="eastAsia" w:ascii="宋体" w:hAnsi="宋体" w:cs="宋体"/>
          <w:snapToGrid w:val="0"/>
          <w:color w:val="auto"/>
          <w:spacing w:val="0"/>
          <w:kern w:val="0"/>
          <w:sz w:val="28"/>
          <w:highlight w:val="none"/>
          <w:lang w:val="en-US" w:eastAsia="zh-CN"/>
        </w:rPr>
        <w:t>8</w:t>
      </w:r>
      <w:r>
        <w:rPr>
          <w:rFonts w:hint="eastAsia" w:ascii="宋体" w:hAnsi="宋体" w:cs="宋体"/>
          <w:snapToGrid w:val="0"/>
          <w:color w:val="auto"/>
          <w:spacing w:val="0"/>
          <w:kern w:val="0"/>
          <w:sz w:val="28"/>
          <w:highlight w:val="none"/>
        </w:rPr>
        <w:t>月0</w:t>
      </w:r>
      <w:r>
        <w:rPr>
          <w:rFonts w:hint="eastAsia" w:ascii="宋体" w:hAnsi="宋体" w:cs="宋体"/>
          <w:snapToGrid w:val="0"/>
          <w:color w:val="auto"/>
          <w:spacing w:val="0"/>
          <w:kern w:val="0"/>
          <w:sz w:val="28"/>
          <w:highlight w:val="none"/>
          <w:lang w:val="en-US" w:eastAsia="zh-CN"/>
        </w:rPr>
        <w:t>5</w:t>
      </w:r>
      <w:r>
        <w:rPr>
          <w:rFonts w:hint="eastAsia" w:ascii="宋体" w:hAnsi="宋体" w:cs="宋体"/>
          <w:snapToGrid w:val="0"/>
          <w:color w:val="auto"/>
          <w:spacing w:val="0"/>
          <w:kern w:val="0"/>
          <w:sz w:val="28"/>
          <w:highlight w:val="none"/>
        </w:rPr>
        <w:t>日</w:t>
      </w:r>
      <w:r>
        <w:rPr>
          <w:rFonts w:hint="eastAsia" w:ascii="宋体" w:hAnsi="宋体"/>
          <w:snapToGrid w:val="0"/>
          <w:color w:val="auto"/>
          <w:spacing w:val="0"/>
          <w:kern w:val="0"/>
          <w:sz w:val="28"/>
          <w:highlight w:val="none"/>
        </w:rPr>
        <w:t>，法定代表人为</w:t>
      </w:r>
      <w:r>
        <w:rPr>
          <w:rFonts w:hint="eastAsia" w:ascii="宋体" w:hAnsi="宋体"/>
          <w:snapToGrid w:val="0"/>
          <w:color w:val="auto"/>
          <w:spacing w:val="0"/>
          <w:kern w:val="0"/>
          <w:sz w:val="28"/>
          <w:highlight w:val="none"/>
          <w:lang w:eastAsia="zh-CN"/>
        </w:rPr>
        <w:t>慈金桥</w:t>
      </w:r>
      <w:r>
        <w:rPr>
          <w:rFonts w:hint="eastAsia" w:ascii="宋体" w:hAnsi="宋体"/>
          <w:snapToGrid w:val="0"/>
          <w:color w:val="auto"/>
          <w:spacing w:val="0"/>
          <w:kern w:val="0"/>
          <w:sz w:val="28"/>
          <w:highlight w:val="none"/>
        </w:rPr>
        <w:t>。加油站</w:t>
      </w:r>
      <w:r>
        <w:rPr>
          <w:rFonts w:hint="eastAsia" w:ascii="宋体" w:hAnsi="宋体"/>
          <w:color w:val="auto"/>
          <w:sz w:val="28"/>
          <w:szCs w:val="28"/>
          <w:highlight w:val="none"/>
        </w:rPr>
        <w:t>东侧是民房</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原供销社宾馆，现闲置）</w:t>
      </w:r>
      <w:r>
        <w:rPr>
          <w:rFonts w:hint="eastAsia" w:ascii="宋体" w:hAnsi="宋体"/>
          <w:color w:val="auto"/>
          <w:sz w:val="28"/>
          <w:szCs w:val="28"/>
          <w:highlight w:val="none"/>
        </w:rPr>
        <w:t>，西侧是104国道，南侧是</w:t>
      </w:r>
      <w:r>
        <w:rPr>
          <w:rFonts w:hint="eastAsia" w:ascii="宋体" w:hAnsi="宋体"/>
          <w:color w:val="auto"/>
          <w:sz w:val="28"/>
          <w:szCs w:val="28"/>
          <w:highlight w:val="none"/>
          <w:lang w:val="en-US" w:eastAsia="zh-CN"/>
        </w:rPr>
        <w:t>县地税办公楼</w:t>
      </w:r>
      <w:r>
        <w:rPr>
          <w:rFonts w:hint="eastAsia" w:ascii="宋体" w:hAnsi="宋体"/>
          <w:color w:val="auto"/>
          <w:sz w:val="28"/>
          <w:szCs w:val="28"/>
          <w:highlight w:val="none"/>
        </w:rPr>
        <w:t>、架空通信线、架空电力线，</w:t>
      </w:r>
      <w:r>
        <w:rPr>
          <w:rFonts w:hint="eastAsia" w:ascii="宋体" w:hAnsi="宋体"/>
          <w:color w:val="auto"/>
          <w:sz w:val="28"/>
          <w:szCs w:val="28"/>
          <w:highlight w:val="none"/>
          <w:lang w:eastAsia="zh-CN"/>
        </w:rPr>
        <w:t>北侧是沿街房、架空电力线</w:t>
      </w:r>
      <w:r>
        <w:rPr>
          <w:rFonts w:hint="eastAsia" w:ascii="宋体" w:hAnsi="宋体"/>
          <w:snapToGrid w:val="0"/>
          <w:color w:val="auto"/>
          <w:spacing w:val="0"/>
          <w:kern w:val="0"/>
          <w:sz w:val="28"/>
          <w:highlight w:val="none"/>
        </w:rPr>
        <w:t>，交通十分便利。该站经营许可范围为汽油、</w:t>
      </w:r>
      <w:r>
        <w:rPr>
          <w:rFonts w:hint="eastAsia" w:ascii="宋体" w:hAnsi="宋体"/>
          <w:snapToGrid w:val="0"/>
          <w:color w:val="auto"/>
          <w:spacing w:val="0"/>
          <w:kern w:val="0"/>
          <w:sz w:val="28"/>
          <w:highlight w:val="none"/>
          <w:lang w:val="en-US" w:eastAsia="zh-CN"/>
        </w:rPr>
        <w:t>乙醇汽油、</w:t>
      </w:r>
      <w:r>
        <w:rPr>
          <w:rFonts w:hint="eastAsia" w:ascii="宋体" w:hAnsi="宋体"/>
          <w:snapToGrid w:val="0"/>
          <w:color w:val="auto"/>
          <w:spacing w:val="0"/>
          <w:kern w:val="0"/>
          <w:sz w:val="28"/>
          <w:highlight w:val="none"/>
        </w:rPr>
        <w:t>柴油。</w:t>
      </w:r>
    </w:p>
    <w:p w14:paraId="0B8A8047">
      <w:pPr>
        <w:adjustRightInd w:val="0"/>
        <w:snapToGrid w:val="0"/>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该站劳动定员</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人，均为新增，其中主要负责人1人，安全生产管理员1人。主要负责人和安全生产管理人员已参加了危险化学品安全管理培训，并取得考核合格证，详见附件。</w:t>
      </w:r>
    </w:p>
    <w:p w14:paraId="34410C65">
      <w:pPr>
        <w:adjustRightInd w:val="0"/>
        <w:snapToGrid w:val="0"/>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加油区：设4台双枪加油机：2台</w:t>
      </w:r>
      <w:r>
        <w:rPr>
          <w:rFonts w:hint="eastAsia" w:ascii="宋体" w:hAnsi="宋体"/>
          <w:color w:val="auto"/>
          <w:sz w:val="28"/>
          <w:szCs w:val="28"/>
          <w:highlight w:val="none"/>
          <w:lang w:val="en-US" w:eastAsia="zh-CN"/>
        </w:rPr>
        <w:t>汽油</w:t>
      </w:r>
      <w:r>
        <w:rPr>
          <w:rFonts w:hint="eastAsia" w:ascii="宋体" w:hAnsi="宋体"/>
          <w:color w:val="auto"/>
          <w:sz w:val="28"/>
          <w:szCs w:val="28"/>
          <w:highlight w:val="none"/>
        </w:rPr>
        <w:t>加油机（92#/95#汽油）、</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台</w:t>
      </w:r>
      <w:r>
        <w:rPr>
          <w:rFonts w:hint="eastAsia" w:ascii="宋体" w:hAnsi="宋体"/>
          <w:color w:val="auto"/>
          <w:sz w:val="28"/>
          <w:szCs w:val="28"/>
          <w:highlight w:val="none"/>
          <w:lang w:val="en-US" w:eastAsia="zh-CN"/>
        </w:rPr>
        <w:t>柴油</w:t>
      </w:r>
      <w:r>
        <w:rPr>
          <w:rFonts w:hint="eastAsia" w:ascii="宋体" w:hAnsi="宋体"/>
          <w:color w:val="auto"/>
          <w:sz w:val="28"/>
          <w:szCs w:val="28"/>
          <w:highlight w:val="none"/>
        </w:rPr>
        <w:t>加油机（0#与-10#柴油换季销售），均为潜油泵式加油机并敷设加油机管线；</w:t>
      </w:r>
      <w:r>
        <w:rPr>
          <w:rFonts w:hint="eastAsia" w:ascii="宋体" w:hAnsi="宋体"/>
          <w:color w:val="auto"/>
          <w:sz w:val="28"/>
          <w:szCs w:val="28"/>
          <w:highlight w:val="none"/>
          <w:lang w:val="en-US" w:eastAsia="zh-CN"/>
        </w:rPr>
        <w:t>新建</w:t>
      </w:r>
      <w:r>
        <w:rPr>
          <w:rFonts w:hint="eastAsia" w:ascii="宋体" w:hAnsi="宋体"/>
          <w:color w:val="auto"/>
          <w:sz w:val="28"/>
          <w:szCs w:val="28"/>
          <w:highlight w:val="none"/>
        </w:rPr>
        <w:t>加油岛4座。</w:t>
      </w:r>
    </w:p>
    <w:p w14:paraId="201D2C8D">
      <w:pPr>
        <w:adjustRightInd w:val="0"/>
        <w:snapToGrid w:val="0"/>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罩棚：</w:t>
      </w:r>
      <w:r>
        <w:rPr>
          <w:rFonts w:hint="eastAsia" w:ascii="宋体" w:hAnsi="宋体"/>
          <w:color w:val="auto"/>
          <w:sz w:val="28"/>
          <w:szCs w:val="28"/>
          <w:highlight w:val="none"/>
          <w:lang w:val="en-US" w:eastAsia="zh-CN"/>
        </w:rPr>
        <w:t>利用原有罩棚改建，</w:t>
      </w:r>
      <w:r>
        <w:rPr>
          <w:rFonts w:hint="eastAsia" w:ascii="宋体" w:hAnsi="宋体"/>
          <w:color w:val="auto"/>
          <w:sz w:val="28"/>
          <w:szCs w:val="28"/>
          <w:highlight w:val="none"/>
        </w:rPr>
        <w:t>网架结构</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罩棚柱4个</w:t>
      </w:r>
      <w:r>
        <w:rPr>
          <w:rFonts w:hint="eastAsia" w:ascii="宋体" w:hAnsi="宋体"/>
          <w:color w:val="auto"/>
          <w:sz w:val="28"/>
          <w:szCs w:val="28"/>
          <w:highlight w:val="none"/>
        </w:rPr>
        <w:t>。</w:t>
      </w:r>
    </w:p>
    <w:p w14:paraId="0A4F9D0A">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储罐</w:t>
      </w:r>
      <w:r>
        <w:rPr>
          <w:rFonts w:hint="eastAsia" w:ascii="宋体" w:hAnsi="宋体"/>
          <w:color w:val="auto"/>
          <w:sz w:val="28"/>
          <w:szCs w:val="28"/>
          <w:highlight w:val="none"/>
        </w:rPr>
        <w:t>区：</w:t>
      </w:r>
      <w:r>
        <w:rPr>
          <w:rFonts w:hint="eastAsia" w:ascii="宋体" w:hAnsi="宋体"/>
          <w:color w:val="auto"/>
          <w:sz w:val="28"/>
          <w:szCs w:val="28"/>
          <w:highlight w:val="none"/>
          <w:lang w:val="en-US" w:eastAsia="zh-CN"/>
        </w:rPr>
        <w:t>依托原有</w:t>
      </w:r>
      <w:r>
        <w:rPr>
          <w:rFonts w:hint="eastAsia" w:ascii="宋体" w:hAnsi="宋体" w:eastAsia="宋体" w:cs="宋体"/>
          <w:color w:val="auto"/>
          <w:sz w:val="28"/>
          <w:szCs w:val="28"/>
          <w:highlight w:val="none"/>
          <w:lang w:val="en-US" w:eastAsia="zh-CN"/>
        </w:rPr>
        <w:t>4台埋地油罐（</w:t>
      </w:r>
      <w:r>
        <w:rPr>
          <w:rFonts w:hint="eastAsia" w:ascii="宋体" w:hAnsi="宋体" w:eastAsia="宋体" w:cs="宋体"/>
          <w:color w:val="auto"/>
          <w:sz w:val="28"/>
          <w:szCs w:val="28"/>
          <w:highlight w:val="none"/>
        </w:rPr>
        <w:t>1台92#</w:t>
      </w:r>
      <w:r>
        <w:rPr>
          <w:rFonts w:hint="eastAsia" w:ascii="宋体" w:hAnsi="宋体" w:eastAsia="宋体" w:cs="宋体"/>
          <w:color w:val="auto"/>
          <w:sz w:val="28"/>
          <w:szCs w:val="28"/>
          <w:highlight w:val="none"/>
          <w:lang w:val="en-US" w:eastAsia="zh-CN"/>
        </w:rPr>
        <w:t>乙醇</w:t>
      </w:r>
      <w:r>
        <w:rPr>
          <w:rFonts w:hint="eastAsia" w:ascii="宋体" w:hAnsi="宋体" w:eastAsia="宋体" w:cs="宋体"/>
          <w:color w:val="auto"/>
          <w:sz w:val="28"/>
          <w:szCs w:val="28"/>
          <w:highlight w:val="none"/>
        </w:rPr>
        <w:t>汽油储罐、1台95#汽油储罐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台</w:t>
      </w:r>
      <w:r>
        <w:rPr>
          <w:rFonts w:hint="eastAsia" w:ascii="宋体" w:hAnsi="宋体" w:eastAsia="宋体" w:cs="宋体"/>
          <w:color w:val="auto"/>
          <w:sz w:val="28"/>
          <w:szCs w:val="28"/>
          <w:highlight w:val="none"/>
          <w:lang w:val="en-US" w:eastAsia="zh-CN"/>
        </w:rPr>
        <w:t>柴</w:t>
      </w:r>
      <w:r>
        <w:rPr>
          <w:rFonts w:hint="eastAsia" w:ascii="宋体" w:hAnsi="宋体" w:eastAsia="宋体" w:cs="宋体"/>
          <w:color w:val="auto"/>
          <w:sz w:val="28"/>
          <w:szCs w:val="28"/>
          <w:highlight w:val="none"/>
        </w:rPr>
        <w:t>油储罐</w:t>
      </w:r>
      <w:r>
        <w:rPr>
          <w:rFonts w:hint="eastAsia" w:ascii="宋体" w:hAnsi="宋体" w:eastAsia="宋体" w:cs="宋体"/>
          <w:color w:val="auto"/>
          <w:sz w:val="28"/>
          <w:szCs w:val="28"/>
          <w:highlight w:val="none"/>
          <w:lang w:val="en-US" w:eastAsia="zh-CN"/>
        </w:rPr>
        <w:t>），增加4台潜油泵</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依托原有</w:t>
      </w:r>
      <w:r>
        <w:rPr>
          <w:rFonts w:hint="eastAsia" w:ascii="宋体" w:hAnsi="宋体"/>
          <w:color w:val="auto"/>
          <w:sz w:val="28"/>
          <w:szCs w:val="28"/>
          <w:highlight w:val="none"/>
        </w:rPr>
        <w:t>油品卸车点1处（位于罐区内</w:t>
      </w:r>
      <w:r>
        <w:rPr>
          <w:rFonts w:hint="eastAsia" w:ascii="宋体" w:hAnsi="宋体"/>
          <w:color w:val="auto"/>
          <w:sz w:val="28"/>
          <w:szCs w:val="28"/>
          <w:highlight w:val="none"/>
          <w:lang w:val="en-US" w:eastAsia="zh-CN"/>
        </w:rPr>
        <w:t>西</w:t>
      </w:r>
      <w:r>
        <w:rPr>
          <w:rFonts w:hint="eastAsia" w:ascii="宋体" w:hAnsi="宋体"/>
          <w:color w:val="auto"/>
          <w:sz w:val="28"/>
          <w:szCs w:val="28"/>
          <w:highlight w:val="none"/>
        </w:rPr>
        <w:t>侧）、通气管</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根（</w:t>
      </w:r>
      <w:r>
        <w:rPr>
          <w:rFonts w:hint="eastAsia" w:ascii="宋体" w:hAnsi="宋体" w:eastAsia="宋体" w:cs="宋体"/>
          <w:color w:val="auto"/>
          <w:sz w:val="28"/>
          <w:szCs w:val="28"/>
          <w:highlight w:val="none"/>
        </w:rPr>
        <w:t>位于罐区内</w:t>
      </w:r>
      <w:r>
        <w:rPr>
          <w:rFonts w:hint="eastAsia" w:ascii="宋体" w:hAnsi="宋体" w:eastAsia="宋体" w:cs="宋体"/>
          <w:color w:val="auto"/>
          <w:sz w:val="28"/>
          <w:szCs w:val="28"/>
          <w:highlight w:val="none"/>
          <w:lang w:val="en-US" w:eastAsia="zh-CN"/>
        </w:rPr>
        <w:t>东侧</w:t>
      </w:r>
      <w:r>
        <w:rPr>
          <w:rFonts w:hint="eastAsia" w:ascii="宋体" w:hAnsi="宋体" w:eastAsia="宋体" w:cs="宋体"/>
          <w:color w:val="auto"/>
          <w:sz w:val="28"/>
          <w:szCs w:val="28"/>
          <w:highlight w:val="none"/>
        </w:rPr>
        <w:t>，含1根油气回收装置通气管</w:t>
      </w:r>
      <w:r>
        <w:rPr>
          <w:rFonts w:hint="eastAsia" w:ascii="宋体" w:hAnsi="宋体"/>
          <w:color w:val="auto"/>
          <w:sz w:val="28"/>
          <w:szCs w:val="28"/>
          <w:highlight w:val="none"/>
        </w:rPr>
        <w:t>）</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新增</w:t>
      </w:r>
      <w:r>
        <w:rPr>
          <w:rFonts w:hint="eastAsia" w:ascii="宋体" w:hAnsi="宋体"/>
          <w:color w:val="auto"/>
          <w:sz w:val="28"/>
          <w:szCs w:val="28"/>
          <w:highlight w:val="none"/>
        </w:rPr>
        <w:t>油气回收处理装置</w:t>
      </w:r>
      <w:r>
        <w:rPr>
          <w:rFonts w:hint="eastAsia" w:ascii="宋体" w:hAnsi="宋体" w:eastAsia="宋体" w:cs="宋体"/>
          <w:color w:val="auto"/>
          <w:sz w:val="28"/>
          <w:szCs w:val="28"/>
          <w:highlight w:val="none"/>
          <w:lang w:val="en-US" w:eastAsia="zh-CN"/>
        </w:rPr>
        <w:t>1处</w:t>
      </w:r>
      <w:r>
        <w:rPr>
          <w:rFonts w:hint="eastAsia" w:ascii="宋体" w:hAnsi="宋体" w:eastAsia="宋体" w:cs="宋体"/>
          <w:color w:val="auto"/>
          <w:sz w:val="28"/>
          <w:szCs w:val="28"/>
          <w:highlight w:val="none"/>
        </w:rPr>
        <w:t>（位于罐区内</w:t>
      </w:r>
      <w:r>
        <w:rPr>
          <w:rFonts w:hint="eastAsia" w:ascii="宋体" w:hAnsi="宋体" w:eastAsia="宋体" w:cs="宋体"/>
          <w:color w:val="auto"/>
          <w:sz w:val="28"/>
          <w:szCs w:val="28"/>
          <w:highlight w:val="none"/>
          <w:lang w:val="en-US" w:eastAsia="zh-CN"/>
        </w:rPr>
        <w:t>中间</w:t>
      </w:r>
      <w:r>
        <w:rPr>
          <w:rFonts w:hint="eastAsia" w:ascii="宋体" w:hAnsi="宋体" w:eastAsia="宋体" w:cs="宋体"/>
          <w:color w:val="auto"/>
          <w:sz w:val="28"/>
          <w:szCs w:val="28"/>
          <w:highlight w:val="none"/>
        </w:rPr>
        <w:t>）</w:t>
      </w:r>
      <w:r>
        <w:rPr>
          <w:rFonts w:hint="eastAsia" w:ascii="宋体" w:hAnsi="宋体"/>
          <w:color w:val="auto"/>
          <w:sz w:val="28"/>
          <w:szCs w:val="28"/>
          <w:highlight w:val="none"/>
        </w:rPr>
        <w:t>；设置消防一体箱（位于罐区</w:t>
      </w:r>
      <w:r>
        <w:rPr>
          <w:rFonts w:hint="eastAsia" w:ascii="宋体" w:hAnsi="宋体"/>
          <w:color w:val="auto"/>
          <w:sz w:val="28"/>
          <w:szCs w:val="28"/>
          <w:highlight w:val="none"/>
          <w:lang w:val="en-US" w:eastAsia="zh-CN"/>
        </w:rPr>
        <w:t>东</w:t>
      </w:r>
      <w:r>
        <w:rPr>
          <w:rFonts w:hint="eastAsia" w:ascii="宋体" w:hAnsi="宋体"/>
          <w:color w:val="auto"/>
          <w:sz w:val="28"/>
          <w:szCs w:val="28"/>
          <w:highlight w:val="none"/>
        </w:rPr>
        <w:t>侧）。</w:t>
      </w:r>
    </w:p>
    <w:p w14:paraId="4080BE58">
      <w:pPr>
        <w:spacing w:line="360" w:lineRule="auto"/>
        <w:ind w:firstLine="560" w:firstLineChars="200"/>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站房：站房依托站内已建站房，为一层框架结构，仅简单装修；内有营业室、办公室、财务室等，设置液位监测系统、防渗漏监测系统、室内外紧急切断系统、视频监控系统、可燃气体报警系统等。</w:t>
      </w:r>
    </w:p>
    <w:p w14:paraId="535308C1">
      <w:pPr>
        <w:spacing w:line="360" w:lineRule="auto"/>
        <w:ind w:firstLine="560" w:firstLineChars="200"/>
        <w:rPr>
          <w:color w:val="auto"/>
          <w:highlight w:val="none"/>
        </w:rPr>
      </w:pPr>
      <w:r>
        <w:rPr>
          <w:rFonts w:hint="eastAsia" w:ascii="宋体" w:hAnsi="宋体"/>
          <w:color w:val="auto"/>
          <w:sz w:val="28"/>
          <w:szCs w:val="28"/>
          <w:highlight w:val="none"/>
          <w:lang w:val="en-US" w:eastAsia="zh-CN"/>
        </w:rPr>
        <w:t>辅助用房</w:t>
      </w:r>
      <w:r>
        <w:rPr>
          <w:rFonts w:hint="eastAsia" w:ascii="宋体" w:hAnsi="宋体"/>
          <w:color w:val="auto"/>
          <w:sz w:val="28"/>
          <w:szCs w:val="28"/>
          <w:highlight w:val="none"/>
        </w:rPr>
        <w:t>：依托原有，内部装修，设有</w:t>
      </w:r>
      <w:r>
        <w:rPr>
          <w:rFonts w:hint="eastAsia" w:ascii="宋体" w:hAnsi="宋体"/>
          <w:color w:val="auto"/>
          <w:sz w:val="28"/>
          <w:szCs w:val="28"/>
          <w:highlight w:val="none"/>
          <w:lang w:val="en-US" w:eastAsia="zh-CN"/>
        </w:rPr>
        <w:t>厕所、厨房（无明火）、配电室等</w:t>
      </w:r>
      <w:r>
        <w:rPr>
          <w:rFonts w:hint="eastAsia" w:ascii="宋体" w:hAnsi="宋体"/>
          <w:color w:val="auto"/>
          <w:sz w:val="28"/>
          <w:szCs w:val="28"/>
          <w:highlight w:val="none"/>
        </w:rPr>
        <w:t>。</w:t>
      </w:r>
    </w:p>
    <w:p w14:paraId="4B692E19">
      <w:pPr>
        <w:wordWrap w:val="0"/>
        <w:topLinePunct/>
        <w:adjustRightInd w:val="0"/>
        <w:snapToGrid w:val="0"/>
        <w:spacing w:line="360" w:lineRule="auto"/>
        <w:ind w:firstLine="560" w:firstLineChars="200"/>
        <w:rPr>
          <w:rFonts w:hint="eastAsia" w:ascii="宋体" w:hAnsi="宋体"/>
          <w:color w:val="auto"/>
          <w:spacing w:val="0"/>
          <w:sz w:val="28"/>
          <w:szCs w:val="28"/>
          <w:highlight w:val="none"/>
        </w:rPr>
      </w:pPr>
      <w:r>
        <w:rPr>
          <w:rFonts w:hint="eastAsia" w:ascii="宋体" w:hAnsi="宋体"/>
          <w:color w:val="auto"/>
          <w:spacing w:val="0"/>
          <w:sz w:val="28"/>
          <w:szCs w:val="28"/>
          <w:highlight w:val="none"/>
        </w:rPr>
        <w:t>该站建成后总罐容为</w:t>
      </w:r>
      <w:r>
        <w:rPr>
          <w:rFonts w:hint="eastAsia" w:ascii="宋体" w:hAnsi="宋体"/>
          <w:color w:val="auto"/>
          <w:spacing w:val="0"/>
          <w:sz w:val="28"/>
          <w:szCs w:val="28"/>
          <w:highlight w:val="none"/>
          <w:lang w:val="en-US" w:eastAsia="zh-CN"/>
        </w:rPr>
        <w:t>120</w:t>
      </w:r>
      <w:r>
        <w:rPr>
          <w:rFonts w:hint="eastAsia" w:ascii="宋体" w:hAnsi="宋体"/>
          <w:color w:val="auto"/>
          <w:spacing w:val="0"/>
          <w:sz w:val="28"/>
          <w:szCs w:val="28"/>
          <w:highlight w:val="none"/>
        </w:rPr>
        <w:t>m³，柴油折半计入总容积为</w:t>
      </w:r>
      <w:r>
        <w:rPr>
          <w:rFonts w:hint="eastAsia" w:ascii="宋体" w:hAnsi="宋体"/>
          <w:color w:val="auto"/>
          <w:spacing w:val="0"/>
          <w:sz w:val="28"/>
          <w:szCs w:val="28"/>
          <w:highlight w:val="none"/>
          <w:lang w:val="en-US" w:eastAsia="zh-CN"/>
        </w:rPr>
        <w:t>90</w:t>
      </w:r>
      <w:r>
        <w:rPr>
          <w:rFonts w:hint="eastAsia" w:ascii="宋体" w:hAnsi="宋体"/>
          <w:color w:val="auto"/>
          <w:spacing w:val="0"/>
          <w:sz w:val="28"/>
          <w:szCs w:val="28"/>
          <w:highlight w:val="none"/>
        </w:rPr>
        <w:t>m³。根据《汽车加油加气加氢站技术标准》（GB50156-2021）表3.0.9条规定：本站为</w:t>
      </w:r>
      <w:r>
        <w:rPr>
          <w:rFonts w:hint="eastAsia" w:ascii="宋体" w:hAnsi="宋体"/>
          <w:color w:val="auto"/>
          <w:spacing w:val="0"/>
          <w:sz w:val="28"/>
          <w:szCs w:val="28"/>
          <w:highlight w:val="none"/>
          <w:lang w:val="en-US" w:eastAsia="zh-CN"/>
        </w:rPr>
        <w:t>三</w:t>
      </w:r>
      <w:r>
        <w:rPr>
          <w:rFonts w:hint="eastAsia" w:ascii="宋体" w:hAnsi="宋体"/>
          <w:color w:val="auto"/>
          <w:spacing w:val="0"/>
          <w:sz w:val="28"/>
          <w:szCs w:val="28"/>
          <w:highlight w:val="none"/>
        </w:rPr>
        <w:t>级加油站。</w:t>
      </w:r>
    </w:p>
    <w:p w14:paraId="58DE8460">
      <w:pPr>
        <w:pStyle w:val="6"/>
        <w:adjustRightInd w:val="0"/>
        <w:snapToGrid w:val="0"/>
        <w:spacing w:before="0" w:after="0" w:line="360" w:lineRule="auto"/>
        <w:jc w:val="center"/>
        <w:rPr>
          <w:rFonts w:hint="eastAsia" w:ascii="楷体_GB2312" w:eastAsia="楷体_GB2312"/>
          <w:color w:val="auto"/>
          <w:highlight w:val="none"/>
        </w:rPr>
      </w:pPr>
      <w:bookmarkStart w:id="2" w:name="_Toc15971"/>
      <w:r>
        <w:rPr>
          <w:rFonts w:hint="eastAsia" w:ascii="楷体_GB2312" w:eastAsia="楷体_GB2312"/>
          <w:color w:val="auto"/>
          <w:highlight w:val="none"/>
        </w:rPr>
        <w:t>2.2 建设项目概况</w:t>
      </w:r>
      <w:bookmarkEnd w:id="2"/>
    </w:p>
    <w:p w14:paraId="29BBF2BE">
      <w:pPr>
        <w:adjustRightInd w:val="0"/>
        <w:snapToGrid w:val="0"/>
        <w:spacing w:line="360" w:lineRule="auto"/>
        <w:ind w:firstLine="562" w:firstLineChars="200"/>
        <w:outlineLvl w:val="2"/>
        <w:rPr>
          <w:rFonts w:hint="eastAsia" w:ascii="黑体" w:hAnsi="宋体" w:eastAsia="黑体"/>
          <w:b/>
          <w:color w:val="auto"/>
          <w:sz w:val="28"/>
          <w:szCs w:val="28"/>
          <w:highlight w:val="none"/>
        </w:rPr>
      </w:pPr>
      <w:r>
        <w:rPr>
          <w:rFonts w:hint="eastAsia" w:ascii="黑体" w:hAnsi="宋体" w:eastAsia="黑体"/>
          <w:b/>
          <w:color w:val="auto"/>
          <w:sz w:val="28"/>
          <w:szCs w:val="28"/>
          <w:highlight w:val="none"/>
        </w:rPr>
        <w:t>2.2.1 项目建设过程</w:t>
      </w:r>
    </w:p>
    <w:p w14:paraId="6324274B">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2.2.1.1</w:t>
      </w:r>
      <w:r>
        <w:rPr>
          <w:rFonts w:ascii="宋体" w:hAnsi="宋体"/>
          <w:b/>
          <w:bCs/>
          <w:color w:val="auto"/>
          <w:sz w:val="28"/>
          <w:szCs w:val="28"/>
          <w:highlight w:val="none"/>
        </w:rPr>
        <w:t>安全</w:t>
      </w:r>
      <w:r>
        <w:rPr>
          <w:rFonts w:hint="eastAsia" w:ascii="宋体" w:hAnsi="宋体"/>
          <w:b/>
          <w:bCs/>
          <w:color w:val="auto"/>
          <w:sz w:val="28"/>
          <w:szCs w:val="28"/>
          <w:highlight w:val="none"/>
        </w:rPr>
        <w:t>审查</w:t>
      </w:r>
    </w:p>
    <w:p w14:paraId="5B0D9422">
      <w:pPr>
        <w:pStyle w:val="5"/>
        <w:adjustRightInd w:val="0"/>
        <w:snapToGrid w:val="0"/>
        <w:spacing w:after="0" w:line="360" w:lineRule="auto"/>
        <w:ind w:firstLine="600" w:firstLineChars="200"/>
        <w:rPr>
          <w:rFonts w:hint="eastAsia" w:ascii="宋体" w:hAnsi="宋体"/>
          <w:snapToGrid w:val="0"/>
          <w:color w:val="auto"/>
          <w:spacing w:val="0"/>
          <w:kern w:val="0"/>
          <w:sz w:val="28"/>
          <w:highlight w:val="none"/>
        </w:rPr>
      </w:pPr>
      <w:r>
        <w:rPr>
          <w:rFonts w:hint="eastAsia" w:ascii="宋体" w:hAnsi="宋体" w:eastAsia="宋体" w:cs="Times New Roman"/>
          <w:color w:val="auto"/>
          <w:sz w:val="28"/>
          <w:szCs w:val="28"/>
          <w:highlight w:val="none"/>
        </w:rPr>
        <w:t>该项目于2025年0</w:t>
      </w:r>
      <w:r>
        <w:rPr>
          <w:rFonts w:hint="eastAsia" w:ascii="宋体" w:hAnsi="宋体" w:eastAsia="宋体" w:cs="Times New Roman"/>
          <w:color w:val="auto"/>
          <w:sz w:val="28"/>
          <w:szCs w:val="28"/>
          <w:highlight w:val="none"/>
          <w:lang w:val="en-US" w:eastAsia="zh-CN"/>
        </w:rPr>
        <w:t>8</w:t>
      </w:r>
      <w:r>
        <w:rPr>
          <w:rFonts w:hint="eastAsia" w:ascii="宋体" w:hAnsi="宋体" w:eastAsia="宋体" w:cs="Times New Roman"/>
          <w:color w:val="auto"/>
          <w:sz w:val="28"/>
          <w:szCs w:val="28"/>
          <w:highlight w:val="none"/>
        </w:rPr>
        <w:t>月</w:t>
      </w:r>
      <w:r>
        <w:rPr>
          <w:rFonts w:hint="eastAsia" w:ascii="宋体" w:hAnsi="宋体" w:eastAsia="宋体" w:cs="Times New Roman"/>
          <w:color w:val="auto"/>
          <w:sz w:val="28"/>
          <w:szCs w:val="28"/>
          <w:highlight w:val="none"/>
          <w:lang w:val="en-US" w:eastAsia="zh-CN"/>
        </w:rPr>
        <w:t>20</w:t>
      </w:r>
      <w:r>
        <w:rPr>
          <w:rFonts w:hint="eastAsia" w:ascii="宋体" w:hAnsi="宋体" w:eastAsia="宋体" w:cs="Times New Roman"/>
          <w:color w:val="auto"/>
          <w:sz w:val="28"/>
          <w:szCs w:val="28"/>
          <w:highlight w:val="none"/>
        </w:rPr>
        <w:t>日取得《山东省建设项目备案证明》，项目代码：</w:t>
      </w:r>
      <w:r>
        <w:rPr>
          <w:rFonts w:hint="eastAsia" w:ascii="宋体" w:hAnsi="宋体" w:eastAsia="宋体" w:cs="宋体"/>
          <w:color w:val="auto"/>
          <w:sz w:val="28"/>
          <w:szCs w:val="28"/>
          <w:highlight w:val="none"/>
          <w:lang w:val="en-US" w:eastAsia="zh-CN"/>
        </w:rPr>
        <w:t>2508-370911-04-05-218657</w:t>
      </w:r>
      <w:r>
        <w:rPr>
          <w:rFonts w:hint="eastAsia" w:ascii="宋体" w:hAnsi="宋体"/>
          <w:snapToGrid w:val="0"/>
          <w:color w:val="auto"/>
          <w:spacing w:val="0"/>
          <w:kern w:val="0"/>
          <w:sz w:val="28"/>
          <w:highlight w:val="none"/>
        </w:rPr>
        <w:t>，建设规模和内容：项目位于</w:t>
      </w:r>
      <w:r>
        <w:rPr>
          <w:rFonts w:hint="eastAsia" w:ascii="宋体" w:hAnsi="宋体"/>
          <w:snapToGrid w:val="0"/>
          <w:color w:val="auto"/>
          <w:spacing w:val="0"/>
          <w:kern w:val="0"/>
          <w:sz w:val="28"/>
          <w:highlight w:val="none"/>
          <w:lang w:eastAsia="zh-CN"/>
        </w:rPr>
        <w:t>山东省泰安市岱岳区大汶口镇104国道560公里处路东</w:t>
      </w:r>
      <w:r>
        <w:rPr>
          <w:rFonts w:hint="eastAsia" w:ascii="宋体" w:hAnsi="宋体"/>
          <w:snapToGrid w:val="0"/>
          <w:color w:val="auto"/>
          <w:spacing w:val="0"/>
          <w:kern w:val="0"/>
          <w:sz w:val="28"/>
          <w:highlight w:val="none"/>
        </w:rPr>
        <w:t>，</w:t>
      </w:r>
      <w:r>
        <w:rPr>
          <w:rFonts w:hint="eastAsia" w:ascii="宋体" w:hAnsi="宋体" w:eastAsia="宋体" w:cs="Times New Roman"/>
          <w:color w:val="auto"/>
          <w:sz w:val="28"/>
          <w:szCs w:val="28"/>
          <w:highlight w:val="none"/>
        </w:rPr>
        <w:t>原有站房保持现状，原有罐区不变，设油品卸车点1处、通气管5根，拟设油气回收处理装置1处。加油区拟更换4台双枪加油机并敷设工艺管道：其中2台92#/95#汽油双枪加油机、2台柴油双枪加油机，均为潜油泵式；拟设加油岛4座；罩棚原有改建；拟建消防一体箱（位于油罐区东侧）；拟设防雷防静电设施。拟建洗车机一处（位于加油区南侧）</w:t>
      </w:r>
      <w:r>
        <w:rPr>
          <w:rFonts w:hint="eastAsia" w:ascii="宋体" w:hAnsi="宋体" w:eastAsia="宋体" w:cs="Times New Roman"/>
          <w:color w:val="auto"/>
          <w:sz w:val="28"/>
          <w:szCs w:val="28"/>
          <w:highlight w:val="none"/>
          <w:lang w:eastAsia="zh-CN"/>
        </w:rPr>
        <w:t>。</w:t>
      </w:r>
      <w:r>
        <w:rPr>
          <w:rFonts w:hint="eastAsia" w:ascii="宋体" w:hAnsi="宋体"/>
          <w:snapToGrid w:val="0"/>
          <w:color w:val="auto"/>
          <w:spacing w:val="0"/>
          <w:kern w:val="0"/>
          <w:sz w:val="28"/>
          <w:highlight w:val="none"/>
        </w:rPr>
        <w:t>该项目符合国家产业政策，不属于《产业结构调整指导目录》的限制类和淘汰类，符合“三线一单”生态环境分区管控方案、规划环评以及能耗、水耗等有关要求，不涉及新增煤炭消耗。</w:t>
      </w:r>
    </w:p>
    <w:p w14:paraId="21D0D7A3">
      <w:pPr>
        <w:adjustRightInd w:val="0"/>
        <w:snapToGrid w:val="0"/>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该项目建设规模、总投资与《山东省建设项目备案证明》内容一致。</w:t>
      </w:r>
    </w:p>
    <w:p w14:paraId="2EBE7B9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该项目建设选址未发生变更，主要技术、工艺路线未发生变化，与通过的《设立安全评价报告》一致；建成的设备设施中没有降低安全性能的安全设施设计变化，与通过的《安全设施设计专篇》一致。</w:t>
      </w:r>
    </w:p>
    <w:p w14:paraId="7F733B8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该项目于2025年0</w:t>
      </w:r>
      <w:r>
        <w:rPr>
          <w:rFonts w:hint="eastAsia" w:ascii="宋体" w:hAnsi="宋体"/>
          <w:snapToGrid w:val="0"/>
          <w:color w:val="auto"/>
          <w:spacing w:val="0"/>
          <w:kern w:val="0"/>
          <w:sz w:val="28"/>
          <w:highlight w:val="none"/>
          <w:lang w:val="en-US" w:eastAsia="zh-CN"/>
        </w:rPr>
        <w:t>8</w:t>
      </w:r>
      <w:r>
        <w:rPr>
          <w:rFonts w:hint="eastAsia" w:ascii="宋体" w:hAnsi="宋体"/>
          <w:snapToGrid w:val="0"/>
          <w:color w:val="auto"/>
          <w:spacing w:val="0"/>
          <w:kern w:val="0"/>
          <w:sz w:val="28"/>
          <w:highlight w:val="none"/>
        </w:rPr>
        <w:t>月由山东鲁健安全技术有限公司出具了《</w:t>
      </w:r>
      <w:r>
        <w:rPr>
          <w:rFonts w:hint="eastAsia" w:ascii="宋体" w:hAnsi="宋体"/>
          <w:snapToGrid w:val="0"/>
          <w:color w:val="auto"/>
          <w:spacing w:val="0"/>
          <w:kern w:val="0"/>
          <w:sz w:val="28"/>
          <w:highlight w:val="none"/>
          <w:lang w:eastAsia="zh-CN"/>
        </w:rPr>
        <w:t>泰安市华佑润泽石化有限公司大汶口镇泰安市华佑润泽石化有限公司改造项目</w:t>
      </w:r>
      <w:r>
        <w:rPr>
          <w:rFonts w:hint="eastAsia" w:ascii="宋体" w:hAnsi="宋体"/>
          <w:snapToGrid w:val="0"/>
          <w:color w:val="auto"/>
          <w:spacing w:val="0"/>
          <w:kern w:val="0"/>
          <w:sz w:val="28"/>
          <w:highlight w:val="none"/>
        </w:rPr>
        <w:t>设立安全评价报告》，2025年0</w:t>
      </w:r>
      <w:r>
        <w:rPr>
          <w:rFonts w:hint="eastAsia" w:ascii="宋体" w:hAnsi="宋体"/>
          <w:snapToGrid w:val="0"/>
          <w:color w:val="auto"/>
          <w:spacing w:val="0"/>
          <w:kern w:val="0"/>
          <w:sz w:val="28"/>
          <w:highlight w:val="none"/>
          <w:lang w:val="en-US" w:eastAsia="zh-CN"/>
        </w:rPr>
        <w:t>8</w:t>
      </w:r>
      <w:r>
        <w:rPr>
          <w:rFonts w:hint="eastAsia" w:ascii="宋体" w:hAnsi="宋体"/>
          <w:snapToGrid w:val="0"/>
          <w:color w:val="auto"/>
          <w:spacing w:val="0"/>
          <w:kern w:val="0"/>
          <w:sz w:val="28"/>
          <w:highlight w:val="none"/>
        </w:rPr>
        <w:t>月</w:t>
      </w:r>
      <w:r>
        <w:rPr>
          <w:rFonts w:hint="eastAsia" w:ascii="宋体" w:hAnsi="宋体"/>
          <w:snapToGrid w:val="0"/>
          <w:color w:val="auto"/>
          <w:spacing w:val="0"/>
          <w:kern w:val="0"/>
          <w:sz w:val="28"/>
          <w:highlight w:val="none"/>
          <w:lang w:val="en-US" w:eastAsia="zh-CN"/>
        </w:rPr>
        <w:t>31</w:t>
      </w:r>
      <w:r>
        <w:rPr>
          <w:rFonts w:hint="eastAsia" w:ascii="宋体" w:hAnsi="宋体"/>
          <w:snapToGrid w:val="0"/>
          <w:color w:val="auto"/>
          <w:spacing w:val="0"/>
          <w:kern w:val="0"/>
          <w:sz w:val="28"/>
          <w:highlight w:val="none"/>
        </w:rPr>
        <w:t>日通过了</w:t>
      </w:r>
      <w:r>
        <w:rPr>
          <w:rFonts w:hint="eastAsia" w:ascii="宋体" w:hAnsi="宋体" w:eastAsia="宋体" w:cs="Times New Roman"/>
          <w:snapToGrid w:val="0"/>
          <w:color w:val="auto"/>
          <w:spacing w:val="0"/>
          <w:kern w:val="0"/>
          <w:sz w:val="28"/>
          <w:highlight w:val="none"/>
        </w:rPr>
        <w:t>专家评审。</w:t>
      </w:r>
    </w:p>
    <w:p w14:paraId="59F35654">
      <w:pPr>
        <w:adjustRightInd w:val="0"/>
        <w:snapToGrid w:val="0"/>
        <w:spacing w:line="360" w:lineRule="auto"/>
        <w:ind w:firstLine="560" w:firstLineChars="200"/>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该项目于2025年</w:t>
      </w:r>
      <w:r>
        <w:rPr>
          <w:rFonts w:hint="eastAsia" w:ascii="宋体" w:hAnsi="宋体"/>
          <w:snapToGrid w:val="0"/>
          <w:color w:val="auto"/>
          <w:spacing w:val="0"/>
          <w:kern w:val="0"/>
          <w:sz w:val="28"/>
          <w:highlight w:val="none"/>
          <w:lang w:val="en-US" w:eastAsia="zh-CN"/>
        </w:rPr>
        <w:t>8</w:t>
      </w:r>
      <w:r>
        <w:rPr>
          <w:rFonts w:hint="eastAsia" w:ascii="宋体" w:hAnsi="宋体"/>
          <w:snapToGrid w:val="0"/>
          <w:color w:val="auto"/>
          <w:spacing w:val="0"/>
          <w:kern w:val="0"/>
          <w:sz w:val="28"/>
          <w:highlight w:val="none"/>
        </w:rPr>
        <w:t>月由</w:t>
      </w:r>
      <w:r>
        <w:rPr>
          <w:rFonts w:hint="eastAsia" w:ascii="宋体" w:hAnsi="宋体"/>
          <w:snapToGrid w:val="0"/>
          <w:color w:val="auto"/>
          <w:spacing w:val="0"/>
          <w:kern w:val="0"/>
          <w:sz w:val="28"/>
          <w:highlight w:val="none"/>
          <w:lang w:eastAsia="zh-CN"/>
        </w:rPr>
        <w:t>山东神州工程设计有限公司</w:t>
      </w:r>
      <w:r>
        <w:rPr>
          <w:rFonts w:hint="eastAsia" w:ascii="宋体" w:hAnsi="宋体"/>
          <w:snapToGrid w:val="0"/>
          <w:color w:val="auto"/>
          <w:spacing w:val="0"/>
          <w:kern w:val="0"/>
          <w:sz w:val="28"/>
          <w:highlight w:val="none"/>
        </w:rPr>
        <w:t>出具了《</w:t>
      </w:r>
      <w:r>
        <w:rPr>
          <w:rFonts w:hint="eastAsia" w:ascii="宋体" w:hAnsi="宋体"/>
          <w:snapToGrid w:val="0"/>
          <w:color w:val="auto"/>
          <w:spacing w:val="0"/>
          <w:kern w:val="0"/>
          <w:sz w:val="28"/>
          <w:highlight w:val="none"/>
          <w:lang w:eastAsia="zh-CN"/>
        </w:rPr>
        <w:t>泰安市华佑润泽石化有限公司大汶口镇泰安市华佑润泽石化有限公司改造项目</w:t>
      </w:r>
      <w:r>
        <w:rPr>
          <w:rFonts w:hint="eastAsia" w:ascii="宋体" w:hAnsi="宋体"/>
          <w:snapToGrid w:val="0"/>
          <w:color w:val="auto"/>
          <w:spacing w:val="0"/>
          <w:kern w:val="0"/>
          <w:sz w:val="28"/>
          <w:highlight w:val="none"/>
        </w:rPr>
        <w:t>安全设施设计专篇》</w:t>
      </w:r>
      <w:r>
        <w:rPr>
          <w:rFonts w:hint="eastAsia" w:ascii="宋体" w:hAnsi="宋体"/>
          <w:snapToGrid w:val="0"/>
          <w:color w:val="auto"/>
          <w:spacing w:val="0"/>
          <w:kern w:val="0"/>
          <w:sz w:val="28"/>
          <w:highlight w:val="none"/>
          <w:lang w:val="en-US" w:eastAsia="zh-CN"/>
        </w:rPr>
        <w:t>和施工图</w:t>
      </w:r>
      <w:r>
        <w:rPr>
          <w:rFonts w:hint="eastAsia" w:ascii="宋体" w:hAnsi="宋体"/>
          <w:snapToGrid w:val="0"/>
          <w:color w:val="auto"/>
          <w:spacing w:val="0"/>
          <w:kern w:val="0"/>
          <w:sz w:val="28"/>
          <w:highlight w:val="none"/>
        </w:rPr>
        <w:t>，2025年</w:t>
      </w:r>
      <w:r>
        <w:rPr>
          <w:rFonts w:hint="eastAsia" w:ascii="宋体" w:hAnsi="宋体"/>
          <w:snapToGrid w:val="0"/>
          <w:color w:val="auto"/>
          <w:spacing w:val="0"/>
          <w:kern w:val="0"/>
          <w:sz w:val="28"/>
          <w:highlight w:val="none"/>
          <w:lang w:val="en-US" w:eastAsia="zh-CN"/>
        </w:rPr>
        <w:t>9</w:t>
      </w:r>
      <w:r>
        <w:rPr>
          <w:rFonts w:hint="eastAsia" w:ascii="宋体" w:hAnsi="宋体"/>
          <w:snapToGrid w:val="0"/>
          <w:color w:val="auto"/>
          <w:spacing w:val="0"/>
          <w:kern w:val="0"/>
          <w:sz w:val="28"/>
          <w:highlight w:val="none"/>
        </w:rPr>
        <w:t>月</w:t>
      </w:r>
      <w:r>
        <w:rPr>
          <w:rFonts w:hint="eastAsia" w:ascii="宋体" w:hAnsi="宋体"/>
          <w:snapToGrid w:val="0"/>
          <w:color w:val="auto"/>
          <w:spacing w:val="0"/>
          <w:kern w:val="0"/>
          <w:sz w:val="28"/>
          <w:highlight w:val="none"/>
          <w:lang w:val="en-US" w:eastAsia="zh-CN"/>
        </w:rPr>
        <w:t>1</w:t>
      </w:r>
      <w:r>
        <w:rPr>
          <w:rFonts w:hint="eastAsia" w:ascii="宋体" w:hAnsi="宋体"/>
          <w:snapToGrid w:val="0"/>
          <w:color w:val="auto"/>
          <w:spacing w:val="0"/>
          <w:kern w:val="0"/>
          <w:sz w:val="28"/>
          <w:highlight w:val="none"/>
        </w:rPr>
        <w:t>日通过了专家评审，于2025年</w:t>
      </w:r>
      <w:r>
        <w:rPr>
          <w:rFonts w:hint="eastAsia" w:ascii="宋体" w:hAnsi="宋体"/>
          <w:snapToGrid w:val="0"/>
          <w:color w:val="auto"/>
          <w:spacing w:val="0"/>
          <w:kern w:val="0"/>
          <w:sz w:val="28"/>
          <w:highlight w:val="none"/>
          <w:lang w:val="en-US" w:eastAsia="zh-CN"/>
        </w:rPr>
        <w:t>9</w:t>
      </w:r>
      <w:r>
        <w:rPr>
          <w:rFonts w:hint="eastAsia" w:ascii="宋体" w:hAnsi="宋体"/>
          <w:snapToGrid w:val="0"/>
          <w:color w:val="auto"/>
          <w:spacing w:val="0"/>
          <w:kern w:val="0"/>
          <w:sz w:val="28"/>
          <w:highlight w:val="none"/>
        </w:rPr>
        <w:t>月</w:t>
      </w:r>
      <w:r>
        <w:rPr>
          <w:rFonts w:hint="eastAsia" w:ascii="宋体" w:hAnsi="宋体"/>
          <w:snapToGrid w:val="0"/>
          <w:color w:val="auto"/>
          <w:spacing w:val="0"/>
          <w:kern w:val="0"/>
          <w:sz w:val="28"/>
          <w:highlight w:val="none"/>
          <w:lang w:val="en-US" w:eastAsia="zh-CN"/>
        </w:rPr>
        <w:t>1</w:t>
      </w:r>
      <w:r>
        <w:rPr>
          <w:rFonts w:hint="eastAsia" w:ascii="宋体" w:hAnsi="宋体"/>
          <w:snapToGrid w:val="0"/>
          <w:color w:val="auto"/>
          <w:spacing w:val="0"/>
          <w:kern w:val="0"/>
          <w:sz w:val="28"/>
          <w:highlight w:val="none"/>
        </w:rPr>
        <w:t>日取得由泰安市</w:t>
      </w:r>
      <w:r>
        <w:rPr>
          <w:rFonts w:hint="eastAsia" w:ascii="宋体" w:hAnsi="宋体"/>
          <w:snapToGrid w:val="0"/>
          <w:color w:val="auto"/>
          <w:spacing w:val="0"/>
          <w:kern w:val="0"/>
          <w:sz w:val="28"/>
          <w:highlight w:val="none"/>
          <w:lang w:val="en-US" w:eastAsia="zh-CN"/>
        </w:rPr>
        <w:t>岱岳区</w:t>
      </w:r>
      <w:r>
        <w:rPr>
          <w:rFonts w:hint="eastAsia" w:ascii="宋体" w:hAnsi="宋体"/>
          <w:snapToGrid w:val="0"/>
          <w:color w:val="auto"/>
          <w:spacing w:val="0"/>
          <w:kern w:val="0"/>
          <w:sz w:val="28"/>
          <w:highlight w:val="none"/>
        </w:rPr>
        <w:t>应急管理局出具的《危化品建设项目安全审查意见书》（泰</w:t>
      </w:r>
      <w:r>
        <w:rPr>
          <w:rFonts w:hint="eastAsia" w:ascii="宋体" w:hAnsi="宋体"/>
          <w:snapToGrid w:val="0"/>
          <w:color w:val="auto"/>
          <w:spacing w:val="0"/>
          <w:kern w:val="0"/>
          <w:sz w:val="28"/>
          <w:highlight w:val="none"/>
          <w:lang w:val="en-US" w:eastAsia="zh-CN"/>
        </w:rPr>
        <w:t>岱</w:t>
      </w:r>
      <w:r>
        <w:rPr>
          <w:rFonts w:hint="eastAsia" w:ascii="宋体" w:hAnsi="宋体"/>
          <w:snapToGrid w:val="0"/>
          <w:color w:val="auto"/>
          <w:spacing w:val="0"/>
          <w:kern w:val="0"/>
          <w:sz w:val="28"/>
          <w:highlight w:val="none"/>
        </w:rPr>
        <w:t>应急危化项目</w:t>
      </w:r>
      <w:r>
        <w:rPr>
          <w:rFonts w:hint="eastAsia" w:ascii="宋体" w:hAnsi="宋体"/>
          <w:snapToGrid w:val="0"/>
          <w:color w:val="auto"/>
          <w:spacing w:val="0"/>
          <w:kern w:val="0"/>
          <w:sz w:val="28"/>
          <w:highlight w:val="none"/>
          <w:lang w:val="en-US" w:eastAsia="zh-CN"/>
        </w:rPr>
        <w:t>安设</w:t>
      </w:r>
      <w:r>
        <w:rPr>
          <w:rFonts w:hint="eastAsia" w:ascii="宋体" w:hAnsi="宋体"/>
          <w:snapToGrid w:val="0"/>
          <w:color w:val="auto"/>
          <w:spacing w:val="0"/>
          <w:kern w:val="0"/>
          <w:sz w:val="28"/>
          <w:highlight w:val="none"/>
        </w:rPr>
        <w:t>审字〔2025〕0</w:t>
      </w:r>
      <w:r>
        <w:rPr>
          <w:rFonts w:hint="eastAsia" w:ascii="宋体" w:hAnsi="宋体"/>
          <w:snapToGrid w:val="0"/>
          <w:color w:val="auto"/>
          <w:spacing w:val="0"/>
          <w:kern w:val="0"/>
          <w:sz w:val="28"/>
          <w:highlight w:val="none"/>
          <w:lang w:val="en-US" w:eastAsia="zh-CN"/>
        </w:rPr>
        <w:t>01</w:t>
      </w:r>
      <w:r>
        <w:rPr>
          <w:rFonts w:hint="eastAsia" w:ascii="宋体" w:hAnsi="宋体"/>
          <w:snapToGrid w:val="0"/>
          <w:color w:val="auto"/>
          <w:spacing w:val="0"/>
          <w:kern w:val="0"/>
          <w:sz w:val="28"/>
          <w:highlight w:val="none"/>
        </w:rPr>
        <w:t>号），同意该项目通过安全审查。</w:t>
      </w:r>
    </w:p>
    <w:p w14:paraId="41A4AFC5">
      <w:pPr>
        <w:adjustRightInd w:val="0"/>
        <w:snapToGrid w:val="0"/>
        <w:spacing w:line="360" w:lineRule="auto"/>
        <w:ind w:firstLine="560" w:firstLineChars="200"/>
        <w:rPr>
          <w:rFonts w:hint="default" w:ascii="宋体" w:hAnsi="宋体" w:eastAsia="宋体" w:cs="Times New Roman"/>
          <w:snapToGrid w:val="0"/>
          <w:color w:val="auto"/>
          <w:spacing w:val="0"/>
          <w:kern w:val="0"/>
          <w:sz w:val="28"/>
          <w:highlight w:val="none"/>
          <w:lang w:val="en-US" w:eastAsia="zh-CN"/>
        </w:rPr>
      </w:pPr>
      <w:r>
        <w:rPr>
          <w:rFonts w:hint="eastAsia" w:ascii="宋体" w:hAnsi="宋体" w:eastAsia="宋体" w:cs="Times New Roman"/>
          <w:snapToGrid w:val="0"/>
          <w:color w:val="auto"/>
          <w:spacing w:val="0"/>
          <w:kern w:val="0"/>
          <w:sz w:val="28"/>
          <w:highlight w:val="none"/>
          <w:lang w:val="en-US" w:eastAsia="zh-CN"/>
        </w:rPr>
        <w:t>该项目于2025年10月15日由建设单位组织了工程竣工验收，并出具了工程竣工验收报告，结论为:该工程符合设计要求，达到合同约定的质量标准，验收合格,详见报告附件。</w:t>
      </w:r>
    </w:p>
    <w:p w14:paraId="41B29895">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2.2.1.2可燃气体探测器</w:t>
      </w:r>
    </w:p>
    <w:p w14:paraId="32DFA7B6">
      <w:pPr>
        <w:adjustRightInd w:val="0"/>
        <w:snapToGrid w:val="0"/>
        <w:spacing w:line="360" w:lineRule="auto"/>
        <w:ind w:firstLine="560" w:firstLineChars="200"/>
        <w:rPr>
          <w:rFonts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该站新增</w:t>
      </w:r>
      <w:r>
        <w:rPr>
          <w:rFonts w:hint="eastAsia" w:ascii="宋体" w:hAnsi="宋体"/>
          <w:snapToGrid w:val="0"/>
          <w:color w:val="auto"/>
          <w:spacing w:val="0"/>
          <w:kern w:val="0"/>
          <w:sz w:val="28"/>
          <w:highlight w:val="none"/>
          <w:lang w:val="en-US" w:eastAsia="zh-CN"/>
        </w:rPr>
        <w:t>2</w:t>
      </w:r>
      <w:r>
        <w:rPr>
          <w:rFonts w:hint="eastAsia" w:ascii="宋体" w:hAnsi="宋体"/>
          <w:snapToGrid w:val="0"/>
          <w:color w:val="auto"/>
          <w:spacing w:val="0"/>
          <w:kern w:val="0"/>
          <w:sz w:val="28"/>
          <w:highlight w:val="none"/>
        </w:rPr>
        <w:t>套点型可燃气体探测器。2025年</w:t>
      </w:r>
      <w:r>
        <w:rPr>
          <w:rFonts w:hint="eastAsia" w:ascii="宋体" w:hAnsi="宋体"/>
          <w:snapToGrid w:val="0"/>
          <w:color w:val="auto"/>
          <w:spacing w:val="0"/>
          <w:kern w:val="0"/>
          <w:sz w:val="28"/>
          <w:highlight w:val="none"/>
          <w:lang w:val="en-US" w:eastAsia="zh-CN"/>
        </w:rPr>
        <w:t>10</w:t>
      </w:r>
      <w:r>
        <w:rPr>
          <w:rFonts w:hint="eastAsia" w:ascii="宋体" w:hAnsi="宋体"/>
          <w:snapToGrid w:val="0"/>
          <w:color w:val="auto"/>
          <w:spacing w:val="0"/>
          <w:kern w:val="0"/>
          <w:sz w:val="28"/>
          <w:highlight w:val="none"/>
        </w:rPr>
        <w:t>月</w:t>
      </w:r>
      <w:r>
        <w:rPr>
          <w:rFonts w:hint="eastAsia" w:ascii="宋体" w:hAnsi="宋体"/>
          <w:snapToGrid w:val="0"/>
          <w:color w:val="auto"/>
          <w:spacing w:val="0"/>
          <w:kern w:val="0"/>
          <w:sz w:val="28"/>
          <w:highlight w:val="none"/>
          <w:lang w:eastAsia="zh-CN"/>
        </w:rPr>
        <w:t>唐山恒测计量器具检测有限公司</w:t>
      </w:r>
      <w:r>
        <w:rPr>
          <w:rFonts w:hint="eastAsia" w:ascii="宋体" w:hAnsi="宋体"/>
          <w:snapToGrid w:val="0"/>
          <w:color w:val="auto"/>
          <w:spacing w:val="0"/>
          <w:kern w:val="0"/>
          <w:sz w:val="28"/>
          <w:highlight w:val="none"/>
        </w:rPr>
        <w:t>对该站可燃气体探测器出具了</w:t>
      </w:r>
      <w:r>
        <w:rPr>
          <w:rFonts w:hint="eastAsia" w:ascii="宋体" w:hAnsi="宋体"/>
          <w:snapToGrid w:val="0"/>
          <w:color w:val="auto"/>
          <w:spacing w:val="0"/>
          <w:kern w:val="0"/>
          <w:sz w:val="28"/>
          <w:highlight w:val="none"/>
          <w:lang w:val="en-US" w:eastAsia="zh-CN"/>
        </w:rPr>
        <w:t>校准证书</w:t>
      </w:r>
      <w:r>
        <w:rPr>
          <w:rFonts w:hint="eastAsia" w:ascii="宋体" w:hAnsi="宋体"/>
          <w:snapToGrid w:val="0"/>
          <w:color w:val="auto"/>
          <w:spacing w:val="0"/>
          <w:kern w:val="0"/>
          <w:sz w:val="28"/>
          <w:highlight w:val="none"/>
        </w:rPr>
        <w:t>，有效期至2026年</w:t>
      </w:r>
      <w:r>
        <w:rPr>
          <w:rFonts w:hint="eastAsia" w:ascii="宋体" w:hAnsi="宋体"/>
          <w:snapToGrid w:val="0"/>
          <w:color w:val="auto"/>
          <w:spacing w:val="0"/>
          <w:kern w:val="0"/>
          <w:sz w:val="28"/>
          <w:highlight w:val="none"/>
          <w:lang w:val="en-US" w:eastAsia="zh-CN"/>
        </w:rPr>
        <w:t>10</w:t>
      </w:r>
      <w:r>
        <w:rPr>
          <w:rFonts w:hint="eastAsia" w:ascii="宋体" w:hAnsi="宋体"/>
          <w:snapToGrid w:val="0"/>
          <w:color w:val="auto"/>
          <w:spacing w:val="0"/>
          <w:kern w:val="0"/>
          <w:sz w:val="28"/>
          <w:highlight w:val="none"/>
        </w:rPr>
        <w:t>月，详见附件。</w:t>
      </w:r>
    </w:p>
    <w:p w14:paraId="6F249826">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2.2.1.3防雷检测</w:t>
      </w:r>
    </w:p>
    <w:p w14:paraId="2DCB3D5B">
      <w:pPr>
        <w:adjustRightInd w:val="0"/>
        <w:snapToGrid w:val="0"/>
        <w:spacing w:line="360" w:lineRule="auto"/>
        <w:ind w:firstLine="560" w:firstLineChars="200"/>
        <w:rPr>
          <w:rFonts w:hint="default" w:ascii="宋体" w:hAnsi="宋体" w:eastAsia="宋体"/>
          <w:snapToGrid w:val="0"/>
          <w:color w:val="auto"/>
          <w:spacing w:val="0"/>
          <w:kern w:val="0"/>
          <w:sz w:val="28"/>
          <w:highlight w:val="none"/>
          <w:lang w:val="en-US" w:eastAsia="zh-CN"/>
        </w:rPr>
      </w:pPr>
      <w:r>
        <w:rPr>
          <w:rFonts w:hint="eastAsia" w:ascii="宋体" w:hAnsi="宋体"/>
          <w:snapToGrid w:val="0"/>
          <w:color w:val="auto"/>
          <w:spacing w:val="0"/>
          <w:kern w:val="0"/>
          <w:sz w:val="28"/>
          <w:highlight w:val="none"/>
        </w:rPr>
        <w:t>2025年</w:t>
      </w:r>
      <w:r>
        <w:rPr>
          <w:rFonts w:hint="eastAsia" w:ascii="宋体" w:hAnsi="宋体"/>
          <w:snapToGrid w:val="0"/>
          <w:color w:val="auto"/>
          <w:spacing w:val="0"/>
          <w:kern w:val="0"/>
          <w:sz w:val="28"/>
          <w:highlight w:val="none"/>
          <w:lang w:val="en-US" w:eastAsia="zh-CN"/>
        </w:rPr>
        <w:t>10</w:t>
      </w:r>
      <w:r>
        <w:rPr>
          <w:rFonts w:hint="eastAsia" w:ascii="宋体" w:hAnsi="宋体"/>
          <w:snapToGrid w:val="0"/>
          <w:color w:val="auto"/>
          <w:spacing w:val="0"/>
          <w:kern w:val="0"/>
          <w:sz w:val="28"/>
          <w:highlight w:val="none"/>
        </w:rPr>
        <w:t>月</w:t>
      </w:r>
      <w:r>
        <w:rPr>
          <w:rFonts w:hint="eastAsia" w:ascii="宋体" w:hAnsi="宋体"/>
          <w:snapToGrid w:val="0"/>
          <w:color w:val="auto"/>
          <w:spacing w:val="0"/>
          <w:kern w:val="0"/>
          <w:sz w:val="28"/>
          <w:highlight w:val="none"/>
          <w:lang w:val="en-US" w:eastAsia="zh-CN"/>
        </w:rPr>
        <w:t>16</w:t>
      </w:r>
      <w:r>
        <w:rPr>
          <w:rFonts w:hint="eastAsia" w:ascii="宋体" w:hAnsi="宋体"/>
          <w:snapToGrid w:val="0"/>
          <w:color w:val="auto"/>
          <w:spacing w:val="0"/>
          <w:kern w:val="0"/>
          <w:sz w:val="28"/>
          <w:highlight w:val="none"/>
        </w:rPr>
        <w:t>日，</w:t>
      </w:r>
      <w:r>
        <w:rPr>
          <w:rFonts w:hint="eastAsia" w:ascii="宋体" w:hAnsi="宋体"/>
          <w:snapToGrid w:val="0"/>
          <w:color w:val="auto"/>
          <w:spacing w:val="0"/>
          <w:kern w:val="0"/>
          <w:sz w:val="28"/>
          <w:highlight w:val="none"/>
          <w:lang w:eastAsia="zh-CN"/>
        </w:rPr>
        <w:t>山东泰吉检测技术有限公司</w:t>
      </w:r>
      <w:r>
        <w:rPr>
          <w:rFonts w:hint="eastAsia" w:ascii="宋体" w:hAnsi="宋体"/>
          <w:snapToGrid w:val="0"/>
          <w:color w:val="auto"/>
          <w:spacing w:val="0"/>
          <w:kern w:val="0"/>
          <w:sz w:val="28"/>
          <w:highlight w:val="none"/>
        </w:rPr>
        <w:t>对该站的防雷装置进行了检测，出具了《雷电防护装置定期检测报告》，报告编号：11220</w:t>
      </w:r>
      <w:r>
        <w:rPr>
          <w:rFonts w:hint="eastAsia" w:ascii="宋体" w:hAnsi="宋体"/>
          <w:snapToGrid w:val="0"/>
          <w:color w:val="auto"/>
          <w:spacing w:val="0"/>
          <w:kern w:val="0"/>
          <w:sz w:val="28"/>
          <w:highlight w:val="none"/>
          <w:lang w:val="en-US" w:eastAsia="zh-CN"/>
        </w:rPr>
        <w:t>24001</w:t>
      </w:r>
      <w:r>
        <w:rPr>
          <w:rFonts w:hint="eastAsia" w:ascii="宋体" w:hAnsi="宋体"/>
          <w:snapToGrid w:val="0"/>
          <w:color w:val="auto"/>
          <w:spacing w:val="0"/>
          <w:kern w:val="0"/>
          <w:sz w:val="28"/>
          <w:highlight w:val="none"/>
        </w:rPr>
        <w:t>[2025]D</w:t>
      </w:r>
      <w:r>
        <w:rPr>
          <w:rFonts w:hint="eastAsia" w:ascii="宋体" w:hAnsi="宋体"/>
          <w:snapToGrid w:val="0"/>
          <w:color w:val="auto"/>
          <w:spacing w:val="0"/>
          <w:kern w:val="0"/>
          <w:sz w:val="28"/>
          <w:highlight w:val="none"/>
          <w:lang w:val="en-US" w:eastAsia="zh-CN"/>
        </w:rPr>
        <w:t>180</w:t>
      </w:r>
      <w:r>
        <w:rPr>
          <w:rFonts w:hint="eastAsia" w:ascii="宋体" w:hAnsi="宋体"/>
          <w:snapToGrid w:val="0"/>
          <w:color w:val="auto"/>
          <w:spacing w:val="0"/>
          <w:kern w:val="0"/>
          <w:sz w:val="28"/>
          <w:highlight w:val="none"/>
        </w:rPr>
        <w:t>，检测结论：合格：</w:t>
      </w:r>
      <w:r>
        <w:rPr>
          <w:rFonts w:hint="eastAsia" w:ascii="宋体" w:hAnsi="宋体"/>
          <w:snapToGrid w:val="0"/>
          <w:color w:val="auto"/>
          <w:spacing w:val="0"/>
          <w:kern w:val="0"/>
          <w:sz w:val="28"/>
          <w:highlight w:val="none"/>
          <w:lang w:val="en-US" w:eastAsia="zh-CN"/>
        </w:rPr>
        <w:t>防雷</w:t>
      </w:r>
      <w:r>
        <w:rPr>
          <w:rFonts w:hint="eastAsia" w:ascii="宋体" w:hAnsi="宋体"/>
          <w:snapToGrid w:val="0"/>
          <w:color w:val="auto"/>
          <w:spacing w:val="0"/>
          <w:kern w:val="0"/>
          <w:sz w:val="28"/>
          <w:highlight w:val="none"/>
        </w:rPr>
        <w:t>装置符合现行国家防雷规范标准要求。有效期至2026年0</w:t>
      </w:r>
      <w:r>
        <w:rPr>
          <w:rFonts w:hint="eastAsia" w:ascii="宋体" w:hAnsi="宋体"/>
          <w:snapToGrid w:val="0"/>
          <w:color w:val="auto"/>
          <w:spacing w:val="0"/>
          <w:kern w:val="0"/>
          <w:sz w:val="28"/>
          <w:highlight w:val="none"/>
          <w:lang w:val="en-US" w:eastAsia="zh-CN"/>
        </w:rPr>
        <w:t>4</w:t>
      </w:r>
      <w:r>
        <w:rPr>
          <w:rFonts w:hint="eastAsia" w:ascii="宋体" w:hAnsi="宋体"/>
          <w:snapToGrid w:val="0"/>
          <w:color w:val="auto"/>
          <w:spacing w:val="0"/>
          <w:kern w:val="0"/>
          <w:sz w:val="28"/>
          <w:highlight w:val="none"/>
        </w:rPr>
        <w:t>月</w:t>
      </w:r>
      <w:r>
        <w:rPr>
          <w:rFonts w:hint="eastAsia" w:ascii="宋体" w:hAnsi="宋体"/>
          <w:snapToGrid w:val="0"/>
          <w:color w:val="auto"/>
          <w:spacing w:val="0"/>
          <w:kern w:val="0"/>
          <w:sz w:val="28"/>
          <w:highlight w:val="none"/>
          <w:lang w:val="en-US" w:eastAsia="zh-CN"/>
        </w:rPr>
        <w:t>16</w:t>
      </w:r>
      <w:r>
        <w:rPr>
          <w:rFonts w:hint="eastAsia" w:ascii="宋体" w:hAnsi="宋体"/>
          <w:snapToGrid w:val="0"/>
          <w:color w:val="auto"/>
          <w:spacing w:val="0"/>
          <w:kern w:val="0"/>
          <w:sz w:val="28"/>
          <w:highlight w:val="none"/>
        </w:rPr>
        <w:t>日</w:t>
      </w:r>
      <w:r>
        <w:rPr>
          <w:rFonts w:hint="eastAsia" w:ascii="宋体" w:hAnsi="宋体"/>
          <w:snapToGrid w:val="0"/>
          <w:color w:val="auto"/>
          <w:spacing w:val="0"/>
          <w:kern w:val="0"/>
          <w:sz w:val="28"/>
          <w:highlight w:val="none"/>
          <w:lang w:eastAsia="zh-CN"/>
        </w:rPr>
        <w:t>，</w:t>
      </w:r>
      <w:r>
        <w:rPr>
          <w:rFonts w:hint="eastAsia" w:ascii="宋体" w:hAnsi="宋体"/>
          <w:snapToGrid w:val="0"/>
          <w:color w:val="auto"/>
          <w:spacing w:val="0"/>
          <w:kern w:val="0"/>
          <w:sz w:val="28"/>
          <w:highlight w:val="none"/>
          <w:lang w:val="en-US" w:eastAsia="zh-CN"/>
        </w:rPr>
        <w:t>详见报告附件。</w:t>
      </w:r>
    </w:p>
    <w:p w14:paraId="10129742">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2.2.1.4</w:t>
      </w:r>
      <w:r>
        <w:rPr>
          <w:rFonts w:ascii="宋体" w:hAnsi="宋体"/>
          <w:b/>
          <w:bCs/>
          <w:color w:val="auto"/>
          <w:sz w:val="28"/>
          <w:szCs w:val="28"/>
          <w:highlight w:val="none"/>
        </w:rPr>
        <w:t>工程消防</w:t>
      </w:r>
      <w:r>
        <w:rPr>
          <w:rFonts w:hint="eastAsia" w:ascii="宋体" w:hAnsi="宋体"/>
          <w:b/>
          <w:bCs/>
          <w:color w:val="auto"/>
          <w:sz w:val="28"/>
          <w:szCs w:val="28"/>
          <w:highlight w:val="none"/>
        </w:rPr>
        <w:t>验收</w:t>
      </w:r>
    </w:p>
    <w:p w14:paraId="63640955">
      <w:pPr>
        <w:keepNext w:val="0"/>
        <w:keepLines w:val="0"/>
        <w:kinsoku/>
        <w:overflowPunct/>
        <w:autoSpaceDE/>
        <w:autoSpaceDN/>
        <w:bidi w:val="0"/>
        <w:adjustRightInd w:val="0"/>
        <w:snapToGrid w:val="0"/>
        <w:spacing w:line="360" w:lineRule="auto"/>
        <w:ind w:firstLine="560"/>
        <w:textAlignment w:val="auto"/>
        <w:rPr>
          <w:rFonts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该</w:t>
      </w:r>
      <w:r>
        <w:rPr>
          <w:rFonts w:hint="eastAsia" w:ascii="宋体" w:hAnsi="宋体" w:eastAsia="宋体" w:cs="Times New Roman"/>
          <w:snapToGrid w:val="0"/>
          <w:color w:val="auto"/>
          <w:spacing w:val="0"/>
          <w:kern w:val="0"/>
          <w:sz w:val="28"/>
          <w:highlight w:val="none"/>
        </w:rPr>
        <w:t>加油站站房依托原有，</w:t>
      </w:r>
      <w:r>
        <w:rPr>
          <w:rFonts w:hint="eastAsia" w:ascii="宋体" w:hAnsi="宋体" w:eastAsia="宋体" w:cs="Times New Roman"/>
          <w:snapToGrid w:val="0"/>
          <w:color w:val="auto"/>
          <w:spacing w:val="0"/>
          <w:kern w:val="0"/>
          <w:sz w:val="28"/>
          <w:highlight w:val="none"/>
          <w:lang w:val="en-US" w:eastAsia="zh-CN"/>
        </w:rPr>
        <w:t>罩棚由2个罩棚柱增加为4个，</w:t>
      </w:r>
      <w:r>
        <w:rPr>
          <w:rFonts w:hint="eastAsia" w:ascii="宋体" w:hAnsi="宋体" w:eastAsia="宋体" w:cs="Times New Roman"/>
          <w:snapToGrid w:val="0"/>
          <w:color w:val="auto"/>
          <w:spacing w:val="0"/>
          <w:kern w:val="0"/>
          <w:sz w:val="28"/>
          <w:highlight w:val="none"/>
        </w:rPr>
        <w:t>投影面积</w:t>
      </w:r>
      <w:r>
        <w:rPr>
          <w:rFonts w:hint="eastAsia" w:ascii="宋体" w:hAnsi="宋体" w:eastAsia="宋体" w:cs="Times New Roman"/>
          <w:snapToGrid w:val="0"/>
          <w:color w:val="auto"/>
          <w:spacing w:val="0"/>
          <w:kern w:val="0"/>
          <w:sz w:val="28"/>
          <w:highlight w:val="none"/>
          <w:lang w:val="en-US" w:eastAsia="zh-CN"/>
        </w:rPr>
        <w:t>由126</w:t>
      </w:r>
      <w:r>
        <w:rPr>
          <w:rFonts w:hint="eastAsia" w:ascii="宋体" w:hAnsi="宋体" w:eastAsia="宋体" w:cs="Times New Roman"/>
          <w:snapToGrid w:val="0"/>
          <w:color w:val="auto"/>
          <w:spacing w:val="0"/>
          <w:kern w:val="0"/>
          <w:sz w:val="28"/>
          <w:highlight w:val="none"/>
        </w:rPr>
        <w:t>㎡</w:t>
      </w:r>
      <w:r>
        <w:rPr>
          <w:rFonts w:hint="eastAsia" w:ascii="宋体" w:hAnsi="宋体" w:eastAsia="宋体" w:cs="Times New Roman"/>
          <w:snapToGrid w:val="0"/>
          <w:color w:val="auto"/>
          <w:spacing w:val="0"/>
          <w:kern w:val="0"/>
          <w:sz w:val="28"/>
          <w:highlight w:val="none"/>
          <w:lang w:val="en-US" w:eastAsia="zh-CN"/>
        </w:rPr>
        <w:t>增加为168</w:t>
      </w:r>
      <w:r>
        <w:rPr>
          <w:rFonts w:hint="eastAsia" w:ascii="宋体" w:hAnsi="宋体" w:eastAsia="宋体" w:cs="Times New Roman"/>
          <w:snapToGrid w:val="0"/>
          <w:color w:val="auto"/>
          <w:spacing w:val="0"/>
          <w:kern w:val="0"/>
          <w:sz w:val="28"/>
          <w:highlight w:val="none"/>
        </w:rPr>
        <w:t>㎡</w:t>
      </w:r>
      <w:r>
        <w:rPr>
          <w:rFonts w:hint="eastAsia" w:ascii="宋体" w:hAnsi="宋体" w:eastAsia="宋体" w:cs="Times New Roman"/>
          <w:snapToGrid w:val="0"/>
          <w:color w:val="auto"/>
          <w:spacing w:val="0"/>
          <w:kern w:val="0"/>
          <w:sz w:val="28"/>
          <w:highlight w:val="none"/>
          <w:lang w:eastAsia="zh-CN"/>
        </w:rPr>
        <w:t>；</w:t>
      </w:r>
      <w:r>
        <w:rPr>
          <w:rFonts w:hint="eastAsia" w:ascii="宋体" w:hAnsi="宋体" w:eastAsia="宋体" w:cs="宋体"/>
          <w:color w:val="auto"/>
          <w:sz w:val="28"/>
          <w:szCs w:val="28"/>
          <w:highlight w:val="none"/>
          <w:lang w:val="en-US" w:eastAsia="zh-CN"/>
        </w:rPr>
        <w:t>原加油站于2005年8月5日取得了泰安市公安消防分局出具的《建筑工程竣工消防验收意见书》，证书编号：泰公消验字[2005]第49号，</w:t>
      </w:r>
      <w:r>
        <w:rPr>
          <w:rFonts w:hint="eastAsia" w:ascii="宋体" w:hAnsi="宋体"/>
          <w:snapToGrid w:val="0"/>
          <w:color w:val="auto"/>
          <w:spacing w:val="0"/>
          <w:kern w:val="0"/>
          <w:sz w:val="28"/>
          <w:highlight w:val="none"/>
        </w:rPr>
        <w:t>结论：</w:t>
      </w:r>
      <w:r>
        <w:rPr>
          <w:rFonts w:hint="eastAsia" w:ascii="宋体" w:hAnsi="宋体"/>
          <w:snapToGrid w:val="0"/>
          <w:color w:val="auto"/>
          <w:spacing w:val="0"/>
          <w:kern w:val="0"/>
          <w:sz w:val="28"/>
          <w:highlight w:val="none"/>
          <w:lang w:val="en-US" w:eastAsia="zh-CN"/>
        </w:rPr>
        <w:t>经检查认为合格，准许投入使用。</w:t>
      </w:r>
      <w:r>
        <w:rPr>
          <w:rFonts w:hint="eastAsia" w:ascii="宋体" w:hAnsi="宋体"/>
          <w:snapToGrid w:val="0"/>
          <w:color w:val="auto"/>
          <w:spacing w:val="0"/>
          <w:kern w:val="0"/>
          <w:sz w:val="28"/>
          <w:highlight w:val="none"/>
        </w:rPr>
        <w:t>详见附件。</w:t>
      </w:r>
    </w:p>
    <w:p w14:paraId="7EB83320">
      <w:pPr>
        <w:adjustRightInd w:val="0"/>
        <w:snapToGrid w:val="0"/>
        <w:spacing w:line="360" w:lineRule="auto"/>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2.2.1.5应急预案</w:t>
      </w:r>
    </w:p>
    <w:p w14:paraId="66456AF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该站制定了生产安全事故应急预案，并于</w:t>
      </w:r>
      <w:r>
        <w:rPr>
          <w:rFonts w:hint="eastAsia" w:ascii="宋体" w:hAnsi="宋体" w:cs="宋体"/>
          <w:bCs/>
          <w:color w:val="auto"/>
          <w:sz w:val="28"/>
          <w:szCs w:val="20"/>
          <w:highlight w:val="none"/>
        </w:rPr>
        <w:t>2025年</w:t>
      </w:r>
      <w:r>
        <w:rPr>
          <w:rFonts w:hint="eastAsia" w:ascii="宋体" w:hAnsi="宋体" w:cs="宋体"/>
          <w:bCs/>
          <w:color w:val="auto"/>
          <w:sz w:val="28"/>
          <w:szCs w:val="20"/>
          <w:highlight w:val="none"/>
          <w:lang w:val="en-US" w:eastAsia="zh-CN"/>
        </w:rPr>
        <w:t>10</w:t>
      </w:r>
      <w:r>
        <w:rPr>
          <w:rFonts w:hint="eastAsia" w:ascii="宋体" w:hAnsi="宋体" w:cs="宋体"/>
          <w:bCs/>
          <w:color w:val="auto"/>
          <w:sz w:val="28"/>
          <w:szCs w:val="20"/>
          <w:highlight w:val="none"/>
        </w:rPr>
        <w:t>月</w:t>
      </w:r>
      <w:r>
        <w:rPr>
          <w:rFonts w:hint="eastAsia" w:ascii="宋体" w:hAnsi="宋体" w:cs="宋体"/>
          <w:bCs/>
          <w:color w:val="auto"/>
          <w:sz w:val="28"/>
          <w:szCs w:val="20"/>
          <w:highlight w:val="none"/>
          <w:lang w:val="en-US" w:eastAsia="zh-CN"/>
        </w:rPr>
        <w:t>21</w:t>
      </w:r>
      <w:r>
        <w:rPr>
          <w:rFonts w:hint="eastAsia" w:ascii="宋体" w:hAnsi="宋体" w:cs="宋体"/>
          <w:bCs/>
          <w:color w:val="auto"/>
          <w:sz w:val="28"/>
          <w:szCs w:val="20"/>
          <w:highlight w:val="none"/>
        </w:rPr>
        <w:t>日</w:t>
      </w:r>
      <w:r>
        <w:rPr>
          <w:rFonts w:hint="eastAsia" w:ascii="宋体" w:hAnsi="宋体"/>
          <w:snapToGrid w:val="0"/>
          <w:color w:val="auto"/>
          <w:spacing w:val="0"/>
          <w:kern w:val="0"/>
          <w:sz w:val="28"/>
          <w:highlight w:val="none"/>
        </w:rPr>
        <w:t>在</w:t>
      </w:r>
      <w:r>
        <w:rPr>
          <w:rFonts w:hint="eastAsia" w:ascii="宋体" w:hAnsi="宋体"/>
          <w:snapToGrid w:val="0"/>
          <w:color w:val="auto"/>
          <w:spacing w:val="0"/>
          <w:kern w:val="0"/>
          <w:sz w:val="28"/>
          <w:highlight w:val="none"/>
          <w:lang w:eastAsia="zh-CN"/>
        </w:rPr>
        <w:t>岱岳区</w:t>
      </w:r>
      <w:r>
        <w:rPr>
          <w:rFonts w:hint="eastAsia" w:ascii="宋体" w:hAnsi="宋体"/>
          <w:snapToGrid w:val="0"/>
          <w:color w:val="auto"/>
          <w:spacing w:val="0"/>
          <w:kern w:val="0"/>
          <w:sz w:val="28"/>
          <w:highlight w:val="none"/>
        </w:rPr>
        <w:t>应急管理局备案。</w:t>
      </w:r>
    </w:p>
    <w:p w14:paraId="340CCF53">
      <w:pPr>
        <w:adjustRightInd w:val="0"/>
        <w:snapToGrid w:val="0"/>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2.2.1.6安全生产责任险</w:t>
      </w:r>
    </w:p>
    <w:p w14:paraId="47ABF72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Times New Roman"/>
          <w:snapToGrid w:val="0"/>
          <w:color w:val="auto"/>
          <w:spacing w:val="0"/>
          <w:kern w:val="0"/>
          <w:sz w:val="28"/>
          <w:highlight w:val="none"/>
        </w:rPr>
      </w:pPr>
      <w:r>
        <w:rPr>
          <w:rFonts w:hint="eastAsia" w:ascii="宋体" w:hAnsi="宋体" w:eastAsia="宋体" w:cs="Times New Roman"/>
          <w:snapToGrid w:val="0"/>
          <w:color w:val="auto"/>
          <w:spacing w:val="0"/>
          <w:kern w:val="0"/>
          <w:sz w:val="28"/>
          <w:highlight w:val="none"/>
        </w:rPr>
        <w:t>该站在</w:t>
      </w:r>
      <w:r>
        <w:rPr>
          <w:rFonts w:hint="eastAsia" w:ascii="宋体" w:hAnsi="宋体" w:eastAsia="宋体" w:cs="Times New Roman"/>
          <w:snapToGrid w:val="0"/>
          <w:color w:val="auto"/>
          <w:spacing w:val="0"/>
          <w:kern w:val="0"/>
          <w:sz w:val="28"/>
          <w:highlight w:val="none"/>
          <w:lang w:eastAsia="zh-CN"/>
        </w:rPr>
        <w:t>中华联合财产保险股份有限公司</w:t>
      </w:r>
      <w:r>
        <w:rPr>
          <w:rFonts w:hint="eastAsia" w:ascii="宋体" w:hAnsi="宋体" w:eastAsia="宋体" w:cs="Times New Roman"/>
          <w:snapToGrid w:val="0"/>
          <w:color w:val="auto"/>
          <w:spacing w:val="0"/>
          <w:kern w:val="0"/>
          <w:sz w:val="28"/>
          <w:highlight w:val="none"/>
        </w:rPr>
        <w:t>缴纳了安全生产责任保险，保单号</w:t>
      </w:r>
      <w:r>
        <w:rPr>
          <w:rFonts w:hint="eastAsia" w:ascii="宋体" w:hAnsi="宋体" w:eastAsia="宋体" w:cs="Times New Roman"/>
          <w:snapToGrid w:val="0"/>
          <w:color w:val="auto"/>
          <w:spacing w:val="0"/>
          <w:kern w:val="0"/>
          <w:sz w:val="28"/>
          <w:highlight w:val="none"/>
          <w:lang w:val="en-US" w:eastAsia="zh-CN"/>
        </w:rPr>
        <w:t>0225370906000450000002</w:t>
      </w:r>
      <w:r>
        <w:rPr>
          <w:rFonts w:hint="eastAsia" w:ascii="宋体" w:hAnsi="宋体" w:eastAsia="宋体" w:cs="Times New Roman"/>
          <w:snapToGrid w:val="0"/>
          <w:color w:val="auto"/>
          <w:spacing w:val="0"/>
          <w:kern w:val="0"/>
          <w:sz w:val="28"/>
          <w:highlight w:val="none"/>
        </w:rPr>
        <w:t>，保险期间自2025年0</w:t>
      </w:r>
      <w:r>
        <w:rPr>
          <w:rFonts w:hint="eastAsia" w:ascii="宋体" w:hAnsi="宋体" w:eastAsia="宋体" w:cs="Times New Roman"/>
          <w:snapToGrid w:val="0"/>
          <w:color w:val="auto"/>
          <w:spacing w:val="0"/>
          <w:kern w:val="0"/>
          <w:sz w:val="28"/>
          <w:highlight w:val="none"/>
          <w:lang w:val="en-US" w:eastAsia="zh-CN"/>
        </w:rPr>
        <w:t>8</w:t>
      </w:r>
      <w:r>
        <w:rPr>
          <w:rFonts w:hint="eastAsia" w:ascii="宋体" w:hAnsi="宋体" w:eastAsia="宋体" w:cs="Times New Roman"/>
          <w:snapToGrid w:val="0"/>
          <w:color w:val="auto"/>
          <w:spacing w:val="0"/>
          <w:kern w:val="0"/>
          <w:sz w:val="28"/>
          <w:highlight w:val="none"/>
        </w:rPr>
        <w:t>月</w:t>
      </w:r>
      <w:r>
        <w:rPr>
          <w:rFonts w:hint="eastAsia" w:ascii="宋体" w:hAnsi="宋体" w:eastAsia="宋体" w:cs="Times New Roman"/>
          <w:snapToGrid w:val="0"/>
          <w:color w:val="auto"/>
          <w:spacing w:val="0"/>
          <w:kern w:val="0"/>
          <w:sz w:val="28"/>
          <w:highlight w:val="none"/>
          <w:lang w:val="en-US" w:eastAsia="zh-CN"/>
        </w:rPr>
        <w:t>15</w:t>
      </w:r>
      <w:r>
        <w:rPr>
          <w:rFonts w:hint="eastAsia" w:ascii="宋体" w:hAnsi="宋体" w:eastAsia="宋体" w:cs="Times New Roman"/>
          <w:snapToGrid w:val="0"/>
          <w:color w:val="auto"/>
          <w:spacing w:val="0"/>
          <w:kern w:val="0"/>
          <w:sz w:val="28"/>
          <w:highlight w:val="none"/>
        </w:rPr>
        <w:t>日零时起至2026年0</w:t>
      </w:r>
      <w:r>
        <w:rPr>
          <w:rFonts w:hint="eastAsia" w:ascii="宋体" w:hAnsi="宋体" w:eastAsia="宋体" w:cs="Times New Roman"/>
          <w:snapToGrid w:val="0"/>
          <w:color w:val="auto"/>
          <w:spacing w:val="0"/>
          <w:kern w:val="0"/>
          <w:sz w:val="28"/>
          <w:highlight w:val="none"/>
          <w:lang w:val="en-US" w:eastAsia="zh-CN"/>
        </w:rPr>
        <w:t>8</w:t>
      </w:r>
      <w:r>
        <w:rPr>
          <w:rFonts w:hint="eastAsia" w:ascii="宋体" w:hAnsi="宋体" w:eastAsia="宋体" w:cs="Times New Roman"/>
          <w:snapToGrid w:val="0"/>
          <w:color w:val="auto"/>
          <w:spacing w:val="0"/>
          <w:kern w:val="0"/>
          <w:sz w:val="28"/>
          <w:highlight w:val="none"/>
        </w:rPr>
        <w:t>月</w:t>
      </w:r>
      <w:r>
        <w:rPr>
          <w:rFonts w:hint="eastAsia" w:ascii="宋体" w:hAnsi="宋体" w:eastAsia="宋体" w:cs="Times New Roman"/>
          <w:snapToGrid w:val="0"/>
          <w:color w:val="auto"/>
          <w:spacing w:val="0"/>
          <w:kern w:val="0"/>
          <w:sz w:val="28"/>
          <w:highlight w:val="none"/>
          <w:lang w:val="en-US" w:eastAsia="zh-CN"/>
        </w:rPr>
        <w:t>14</w:t>
      </w:r>
      <w:r>
        <w:rPr>
          <w:rFonts w:hint="eastAsia" w:ascii="宋体" w:hAnsi="宋体" w:eastAsia="宋体" w:cs="Times New Roman"/>
          <w:snapToGrid w:val="0"/>
          <w:color w:val="auto"/>
          <w:spacing w:val="0"/>
          <w:kern w:val="0"/>
          <w:sz w:val="28"/>
          <w:highlight w:val="none"/>
        </w:rPr>
        <w:t>日二十四时止。</w:t>
      </w:r>
    </w:p>
    <w:p w14:paraId="11EDDAC7">
      <w:pPr>
        <w:keepNext w:val="0"/>
        <w:keepLines w:val="0"/>
        <w:pageBreakBefore/>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黑体" w:eastAsia="黑体"/>
          <w:color w:val="auto"/>
          <w:sz w:val="32"/>
          <w:szCs w:val="32"/>
          <w:highlight w:val="none"/>
        </w:rPr>
      </w:pPr>
      <w:bookmarkStart w:id="3" w:name="_Toc16913"/>
      <w:bookmarkStart w:id="4" w:name="_Toc7871"/>
      <w:r>
        <w:rPr>
          <w:rFonts w:hint="eastAsia" w:ascii="黑体" w:hAnsi="Times New Roman" w:eastAsia="黑体" w:cs="Times New Roman"/>
          <w:b/>
          <w:bCs/>
          <w:color w:val="auto"/>
          <w:spacing w:val="6"/>
          <w:kern w:val="44"/>
          <w:sz w:val="32"/>
          <w:szCs w:val="32"/>
          <w:highlight w:val="none"/>
          <w:lang w:val="en-US" w:eastAsia="zh-CN" w:bidi="ar-SA"/>
        </w:rPr>
        <w:t>4 安全经营条件</w:t>
      </w:r>
      <w:bookmarkEnd w:id="3"/>
    </w:p>
    <w:p w14:paraId="33538B09">
      <w:pPr>
        <w:pStyle w:val="6"/>
        <w:adjustRightInd w:val="0"/>
        <w:snapToGrid w:val="0"/>
        <w:spacing w:before="0" w:after="0" w:line="360" w:lineRule="auto"/>
        <w:jc w:val="center"/>
        <w:rPr>
          <w:rFonts w:hint="eastAsia" w:ascii="楷体_GB2312" w:eastAsia="楷体_GB2312"/>
          <w:color w:val="auto"/>
          <w:highlight w:val="none"/>
        </w:rPr>
      </w:pPr>
      <w:bookmarkStart w:id="5" w:name="_Toc23860"/>
      <w:r>
        <w:rPr>
          <w:rFonts w:hint="eastAsia" w:ascii="楷体_GB2312" w:eastAsia="楷体_GB2312"/>
          <w:color w:val="auto"/>
          <w:highlight w:val="none"/>
        </w:rPr>
        <w:t>4.1 评价单元划分</w:t>
      </w:r>
      <w:bookmarkEnd w:id="5"/>
    </w:p>
    <w:p w14:paraId="28315993">
      <w:pPr>
        <w:adjustRightInd w:val="0"/>
        <w:snapToGrid w:val="0"/>
        <w:spacing w:line="360" w:lineRule="auto"/>
        <w:ind w:firstLine="560" w:firstLineChars="200"/>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根据</w:t>
      </w:r>
      <w:r>
        <w:rPr>
          <w:rFonts w:hint="eastAsia" w:ascii="宋体" w:hAnsi="宋体"/>
          <w:snapToGrid w:val="0"/>
          <w:color w:val="auto"/>
          <w:spacing w:val="0"/>
          <w:kern w:val="0"/>
          <w:sz w:val="28"/>
          <w:highlight w:val="none"/>
          <w:lang w:eastAsia="zh-CN"/>
        </w:rPr>
        <w:t>泰安市华佑润泽石化有限公司大汶口镇泰安市华佑润泽石化有限公司改造项目</w:t>
      </w:r>
      <w:r>
        <w:rPr>
          <w:rFonts w:hint="eastAsia" w:ascii="宋体" w:hAnsi="宋体"/>
          <w:snapToGrid w:val="0"/>
          <w:color w:val="auto"/>
          <w:spacing w:val="0"/>
          <w:kern w:val="0"/>
          <w:sz w:val="28"/>
          <w:highlight w:val="none"/>
        </w:rPr>
        <w:t>的特点，本次安全评价划分为4个单元，即安全管理、站址选择及总平面布置、加油工艺及设施、其它设施。</w:t>
      </w:r>
    </w:p>
    <w:p w14:paraId="178607FD">
      <w:pPr>
        <w:pStyle w:val="6"/>
        <w:adjustRightInd w:val="0"/>
        <w:snapToGrid w:val="0"/>
        <w:spacing w:before="0" w:after="0" w:line="360" w:lineRule="auto"/>
        <w:jc w:val="center"/>
        <w:rPr>
          <w:rFonts w:hint="eastAsia" w:ascii="楷体_GB2312" w:eastAsia="楷体_GB2312"/>
          <w:color w:val="auto"/>
          <w:highlight w:val="none"/>
        </w:rPr>
      </w:pPr>
      <w:bookmarkStart w:id="6" w:name="_Toc10844"/>
      <w:r>
        <w:rPr>
          <w:rFonts w:hint="eastAsia" w:ascii="楷体_GB2312" w:eastAsia="楷体_GB2312"/>
          <w:color w:val="auto"/>
          <w:highlight w:val="none"/>
        </w:rPr>
        <w:t>4.2 评价方法选择</w:t>
      </w:r>
      <w:bookmarkEnd w:id="6"/>
    </w:p>
    <w:p w14:paraId="76FA25ED">
      <w:pPr>
        <w:adjustRightInd w:val="0"/>
        <w:snapToGrid w:val="0"/>
        <w:spacing w:line="360" w:lineRule="auto"/>
        <w:ind w:firstLine="562" w:firstLineChars="200"/>
        <w:outlineLvl w:val="2"/>
        <w:rPr>
          <w:rFonts w:hint="eastAsia" w:ascii="黑体" w:hAnsi="宋体" w:eastAsia="黑体"/>
          <w:b/>
          <w:color w:val="auto"/>
          <w:sz w:val="28"/>
          <w:szCs w:val="28"/>
          <w:highlight w:val="none"/>
        </w:rPr>
      </w:pPr>
      <w:r>
        <w:rPr>
          <w:rFonts w:hint="eastAsia" w:ascii="黑体" w:hAnsi="宋体" w:eastAsia="黑体"/>
          <w:b/>
          <w:color w:val="auto"/>
          <w:sz w:val="28"/>
          <w:szCs w:val="28"/>
          <w:highlight w:val="none"/>
        </w:rPr>
        <w:t>4.2.1 评价方法选用表</w:t>
      </w:r>
    </w:p>
    <w:p w14:paraId="3484006D">
      <w:pPr>
        <w:adjustRightInd w:val="0"/>
        <w:snapToGrid w:val="0"/>
        <w:spacing w:line="360" w:lineRule="auto"/>
        <w:ind w:firstLine="560" w:firstLineChars="200"/>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首先,我们运用安全检查表的方法对本项目的设计进行检查，确定本项目的总体安全性。然后，根据各评价单元的特点选择适合的评价方法进行评价，具体方法选择见表4.2-1。</w:t>
      </w:r>
    </w:p>
    <w:p w14:paraId="7CA86C23">
      <w:pPr>
        <w:pStyle w:val="28"/>
        <w:adjustRightInd w:val="0"/>
        <w:snapToGrid w:val="0"/>
        <w:spacing w:line="360" w:lineRule="auto"/>
        <w:outlineLvl w:val="9"/>
        <w:rPr>
          <w:rFonts w:hint="eastAsia"/>
          <w:color w:val="auto"/>
          <w:highlight w:val="none"/>
        </w:rPr>
      </w:pPr>
      <w:r>
        <w:rPr>
          <w:rFonts w:hint="eastAsia"/>
          <w:color w:val="auto"/>
          <w:highlight w:val="none"/>
        </w:rPr>
        <w:t>表4.2-1 评价方法选用表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3196"/>
        <w:gridCol w:w="3762"/>
      </w:tblGrid>
      <w:tr w14:paraId="4C39F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4" w:type="pct"/>
            <w:noWrap w:val="0"/>
            <w:vAlign w:val="center"/>
          </w:tcPr>
          <w:p w14:paraId="38E93120">
            <w:pPr>
              <w:pStyle w:val="30"/>
              <w:adjustRightInd w:val="0"/>
              <w:spacing w:line="360" w:lineRule="auto"/>
              <w:rPr>
                <w:rFonts w:hint="eastAsia" w:ascii="宋体" w:hAnsi="宋体"/>
                <w:snapToGrid/>
                <w:color w:val="auto"/>
                <w:kern w:val="2"/>
                <w:highlight w:val="none"/>
              </w:rPr>
            </w:pPr>
            <w:r>
              <w:rPr>
                <w:rFonts w:hint="eastAsia" w:ascii="宋体" w:hAnsi="宋体"/>
                <w:snapToGrid/>
                <w:color w:val="auto"/>
                <w:kern w:val="2"/>
                <w:highlight w:val="none"/>
              </w:rPr>
              <w:t>序号</w:t>
            </w:r>
          </w:p>
        </w:tc>
        <w:tc>
          <w:tcPr>
            <w:tcW w:w="1720" w:type="pct"/>
            <w:noWrap w:val="0"/>
            <w:vAlign w:val="center"/>
          </w:tcPr>
          <w:p w14:paraId="47EE9B44">
            <w:pPr>
              <w:pStyle w:val="30"/>
              <w:adjustRightInd w:val="0"/>
              <w:spacing w:line="360" w:lineRule="auto"/>
              <w:rPr>
                <w:rFonts w:hint="eastAsia" w:ascii="宋体" w:hAnsi="宋体"/>
                <w:snapToGrid/>
                <w:color w:val="auto"/>
                <w:kern w:val="2"/>
                <w:highlight w:val="none"/>
              </w:rPr>
            </w:pPr>
            <w:r>
              <w:rPr>
                <w:rFonts w:hint="eastAsia" w:ascii="宋体" w:hAnsi="宋体"/>
                <w:snapToGrid/>
                <w:color w:val="auto"/>
                <w:kern w:val="2"/>
                <w:highlight w:val="none"/>
              </w:rPr>
              <w:t>评价单元名称</w:t>
            </w:r>
          </w:p>
        </w:tc>
        <w:tc>
          <w:tcPr>
            <w:tcW w:w="2024" w:type="pct"/>
            <w:noWrap w:val="0"/>
            <w:vAlign w:val="center"/>
          </w:tcPr>
          <w:p w14:paraId="538C3F1C">
            <w:pPr>
              <w:pStyle w:val="30"/>
              <w:adjustRightInd w:val="0"/>
              <w:spacing w:line="360" w:lineRule="auto"/>
              <w:rPr>
                <w:rFonts w:hint="eastAsia" w:ascii="宋体" w:hAnsi="宋体"/>
                <w:snapToGrid/>
                <w:color w:val="auto"/>
                <w:kern w:val="2"/>
                <w:highlight w:val="none"/>
              </w:rPr>
            </w:pPr>
            <w:r>
              <w:rPr>
                <w:rFonts w:hint="eastAsia" w:ascii="宋体" w:hAnsi="宋体"/>
                <w:snapToGrid/>
                <w:color w:val="auto"/>
                <w:kern w:val="2"/>
                <w:highlight w:val="none"/>
              </w:rPr>
              <w:t>采用的评价方法</w:t>
            </w:r>
          </w:p>
        </w:tc>
      </w:tr>
      <w:tr w14:paraId="4FC33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254" w:type="pct"/>
            <w:noWrap w:val="0"/>
            <w:vAlign w:val="center"/>
          </w:tcPr>
          <w:p w14:paraId="5D18A574">
            <w:pPr>
              <w:pStyle w:val="30"/>
              <w:adjustRightInd w:val="0"/>
              <w:spacing w:line="360" w:lineRule="auto"/>
              <w:rPr>
                <w:rFonts w:hint="eastAsia" w:ascii="宋体" w:hAnsi="宋体"/>
                <w:snapToGrid/>
                <w:color w:val="auto"/>
                <w:kern w:val="2"/>
                <w:sz w:val="24"/>
                <w:highlight w:val="none"/>
              </w:rPr>
            </w:pPr>
            <w:r>
              <w:rPr>
                <w:rFonts w:hint="eastAsia" w:ascii="宋体" w:hAnsi="宋体"/>
                <w:snapToGrid/>
                <w:color w:val="auto"/>
                <w:kern w:val="2"/>
                <w:sz w:val="24"/>
                <w:highlight w:val="none"/>
              </w:rPr>
              <w:t>P</w:t>
            </w:r>
            <w:r>
              <w:rPr>
                <w:rFonts w:hint="eastAsia" w:ascii="宋体" w:hAnsi="宋体"/>
                <w:snapToGrid/>
                <w:color w:val="auto"/>
                <w:kern w:val="2"/>
                <w:sz w:val="24"/>
                <w:highlight w:val="none"/>
                <w:vertAlign w:val="subscript"/>
              </w:rPr>
              <w:t>1</w:t>
            </w:r>
          </w:p>
        </w:tc>
        <w:tc>
          <w:tcPr>
            <w:tcW w:w="1720" w:type="pct"/>
            <w:noWrap w:val="0"/>
            <w:vAlign w:val="center"/>
          </w:tcPr>
          <w:p w14:paraId="0FDA45D6">
            <w:pPr>
              <w:adjustRightInd w:val="0"/>
              <w:snapToGrid w:val="0"/>
              <w:spacing w:line="360" w:lineRule="auto"/>
              <w:jc w:val="center"/>
              <w:rPr>
                <w:rFonts w:hint="eastAsia" w:ascii="宋体" w:hAnsi="宋体"/>
                <w:color w:val="auto"/>
                <w:highlight w:val="none"/>
              </w:rPr>
            </w:pPr>
            <w:r>
              <w:rPr>
                <w:rFonts w:hint="eastAsia"/>
                <w:color w:val="auto"/>
                <w:szCs w:val="28"/>
                <w:highlight w:val="none"/>
              </w:rPr>
              <w:t>安全管理</w:t>
            </w:r>
          </w:p>
        </w:tc>
        <w:tc>
          <w:tcPr>
            <w:tcW w:w="2024" w:type="pct"/>
            <w:noWrap w:val="0"/>
            <w:vAlign w:val="center"/>
          </w:tcPr>
          <w:p w14:paraId="1291F135">
            <w:pPr>
              <w:pStyle w:val="30"/>
              <w:adjustRightInd w:val="0"/>
              <w:spacing w:line="360" w:lineRule="auto"/>
              <w:rPr>
                <w:rFonts w:hint="eastAsia" w:ascii="宋体" w:hAnsi="宋体"/>
                <w:snapToGrid/>
                <w:color w:val="auto"/>
                <w:kern w:val="2"/>
                <w:highlight w:val="none"/>
              </w:rPr>
            </w:pPr>
            <w:r>
              <w:rPr>
                <w:rFonts w:hint="eastAsia" w:ascii="宋体" w:hAnsi="宋体"/>
                <w:snapToGrid/>
                <w:color w:val="auto"/>
                <w:kern w:val="2"/>
                <w:highlight w:val="none"/>
              </w:rPr>
              <w:t>安全检查表</w:t>
            </w:r>
          </w:p>
        </w:tc>
      </w:tr>
      <w:tr w14:paraId="51D73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254" w:type="pct"/>
            <w:noWrap w:val="0"/>
            <w:vAlign w:val="center"/>
          </w:tcPr>
          <w:p w14:paraId="4CD8C404">
            <w:pPr>
              <w:pStyle w:val="30"/>
              <w:adjustRightInd w:val="0"/>
              <w:spacing w:line="360" w:lineRule="auto"/>
              <w:rPr>
                <w:rFonts w:hint="eastAsia" w:ascii="宋体" w:hAnsi="宋体"/>
                <w:snapToGrid/>
                <w:color w:val="auto"/>
                <w:kern w:val="2"/>
                <w:sz w:val="24"/>
                <w:highlight w:val="none"/>
              </w:rPr>
            </w:pPr>
            <w:r>
              <w:rPr>
                <w:rFonts w:hint="eastAsia" w:ascii="宋体" w:hAnsi="宋体"/>
                <w:snapToGrid/>
                <w:color w:val="auto"/>
                <w:kern w:val="2"/>
                <w:sz w:val="24"/>
                <w:highlight w:val="none"/>
              </w:rPr>
              <w:t>P</w:t>
            </w:r>
            <w:r>
              <w:rPr>
                <w:rFonts w:hint="eastAsia" w:ascii="宋体" w:hAnsi="宋体"/>
                <w:snapToGrid/>
                <w:color w:val="auto"/>
                <w:kern w:val="2"/>
                <w:sz w:val="24"/>
                <w:highlight w:val="none"/>
                <w:vertAlign w:val="subscript"/>
              </w:rPr>
              <w:t>2</w:t>
            </w:r>
          </w:p>
        </w:tc>
        <w:tc>
          <w:tcPr>
            <w:tcW w:w="1720" w:type="pct"/>
            <w:noWrap w:val="0"/>
            <w:vAlign w:val="center"/>
          </w:tcPr>
          <w:p w14:paraId="7B12A94C">
            <w:pPr>
              <w:adjustRightInd w:val="0"/>
              <w:snapToGrid w:val="0"/>
              <w:spacing w:line="360" w:lineRule="auto"/>
              <w:jc w:val="center"/>
              <w:rPr>
                <w:rFonts w:hint="eastAsia" w:ascii="宋体" w:hAnsi="宋体"/>
                <w:color w:val="auto"/>
                <w:highlight w:val="none"/>
              </w:rPr>
            </w:pPr>
            <w:r>
              <w:rPr>
                <w:rFonts w:hint="eastAsia"/>
                <w:color w:val="auto"/>
                <w:szCs w:val="28"/>
                <w:highlight w:val="none"/>
              </w:rPr>
              <w:t>站址选择</w:t>
            </w:r>
            <w:r>
              <w:rPr>
                <w:rFonts w:hint="eastAsia" w:ascii="宋体" w:hAnsi="宋体"/>
                <w:color w:val="auto"/>
                <w:highlight w:val="none"/>
              </w:rPr>
              <w:t>总平面布置</w:t>
            </w:r>
          </w:p>
        </w:tc>
        <w:tc>
          <w:tcPr>
            <w:tcW w:w="2024" w:type="pct"/>
            <w:noWrap w:val="0"/>
            <w:vAlign w:val="center"/>
          </w:tcPr>
          <w:p w14:paraId="4249F28F">
            <w:pPr>
              <w:pStyle w:val="30"/>
              <w:adjustRightInd w:val="0"/>
              <w:spacing w:line="360" w:lineRule="auto"/>
              <w:rPr>
                <w:rFonts w:hint="eastAsia" w:ascii="宋体" w:hAnsi="宋体"/>
                <w:snapToGrid/>
                <w:color w:val="auto"/>
                <w:kern w:val="2"/>
                <w:highlight w:val="none"/>
              </w:rPr>
            </w:pPr>
            <w:r>
              <w:rPr>
                <w:rFonts w:hint="eastAsia" w:ascii="宋体" w:hAnsi="宋体"/>
                <w:snapToGrid/>
                <w:color w:val="auto"/>
                <w:kern w:val="2"/>
                <w:highlight w:val="none"/>
              </w:rPr>
              <w:t>安全检查表</w:t>
            </w:r>
          </w:p>
        </w:tc>
      </w:tr>
      <w:tr w14:paraId="4A630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254" w:type="pct"/>
            <w:noWrap w:val="0"/>
            <w:vAlign w:val="center"/>
          </w:tcPr>
          <w:p w14:paraId="5944A1DF">
            <w:pPr>
              <w:pStyle w:val="30"/>
              <w:adjustRightInd w:val="0"/>
              <w:spacing w:line="360" w:lineRule="auto"/>
              <w:rPr>
                <w:rFonts w:hint="eastAsia" w:ascii="宋体" w:hAnsi="宋体"/>
                <w:snapToGrid/>
                <w:color w:val="auto"/>
                <w:kern w:val="2"/>
                <w:sz w:val="24"/>
                <w:highlight w:val="none"/>
              </w:rPr>
            </w:pPr>
            <w:r>
              <w:rPr>
                <w:rFonts w:hint="eastAsia" w:ascii="宋体" w:hAnsi="宋体"/>
                <w:snapToGrid/>
                <w:color w:val="auto"/>
                <w:kern w:val="2"/>
                <w:sz w:val="24"/>
                <w:highlight w:val="none"/>
              </w:rPr>
              <w:t>P</w:t>
            </w:r>
            <w:r>
              <w:rPr>
                <w:rFonts w:hint="eastAsia" w:ascii="宋体" w:hAnsi="宋体"/>
                <w:snapToGrid/>
                <w:color w:val="auto"/>
                <w:kern w:val="2"/>
                <w:sz w:val="24"/>
                <w:highlight w:val="none"/>
                <w:vertAlign w:val="subscript"/>
              </w:rPr>
              <w:t>3</w:t>
            </w:r>
          </w:p>
        </w:tc>
        <w:tc>
          <w:tcPr>
            <w:tcW w:w="1720" w:type="pct"/>
            <w:noWrap w:val="0"/>
            <w:vAlign w:val="center"/>
          </w:tcPr>
          <w:p w14:paraId="3C01C8CF">
            <w:pPr>
              <w:adjustRightInd w:val="0"/>
              <w:snapToGrid w:val="0"/>
              <w:spacing w:line="360" w:lineRule="auto"/>
              <w:jc w:val="center"/>
              <w:rPr>
                <w:rFonts w:hint="eastAsia" w:ascii="宋体" w:hAnsi="宋体"/>
                <w:color w:val="auto"/>
                <w:highlight w:val="none"/>
              </w:rPr>
            </w:pPr>
            <w:r>
              <w:rPr>
                <w:rFonts w:hint="eastAsia"/>
                <w:color w:val="auto"/>
                <w:szCs w:val="28"/>
                <w:highlight w:val="none"/>
              </w:rPr>
              <w:t>加油工艺及设施</w:t>
            </w:r>
          </w:p>
        </w:tc>
        <w:tc>
          <w:tcPr>
            <w:tcW w:w="2024" w:type="pct"/>
            <w:noWrap w:val="0"/>
            <w:vAlign w:val="center"/>
          </w:tcPr>
          <w:p w14:paraId="26B15A1E">
            <w:pPr>
              <w:pStyle w:val="30"/>
              <w:adjustRightInd w:val="0"/>
              <w:spacing w:line="360" w:lineRule="auto"/>
              <w:rPr>
                <w:rFonts w:hint="eastAsia" w:ascii="宋体" w:hAnsi="宋体"/>
                <w:snapToGrid/>
                <w:color w:val="auto"/>
                <w:kern w:val="2"/>
                <w:szCs w:val="21"/>
                <w:highlight w:val="none"/>
              </w:rPr>
            </w:pPr>
            <w:r>
              <w:rPr>
                <w:rFonts w:hint="eastAsia" w:ascii="宋体" w:hAnsi="宋体"/>
                <w:snapToGrid/>
                <w:color w:val="auto"/>
                <w:kern w:val="2"/>
                <w:szCs w:val="21"/>
                <w:highlight w:val="none"/>
              </w:rPr>
              <w:t>安全检查表、PHA、事故树</w:t>
            </w:r>
          </w:p>
        </w:tc>
      </w:tr>
      <w:tr w14:paraId="444C6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254" w:type="pct"/>
            <w:noWrap w:val="0"/>
            <w:vAlign w:val="center"/>
          </w:tcPr>
          <w:p w14:paraId="6E92A7C0">
            <w:pPr>
              <w:pStyle w:val="30"/>
              <w:adjustRightInd w:val="0"/>
              <w:spacing w:line="360" w:lineRule="auto"/>
              <w:rPr>
                <w:rFonts w:hint="eastAsia" w:ascii="宋体" w:hAnsi="宋体"/>
                <w:snapToGrid/>
                <w:color w:val="auto"/>
                <w:kern w:val="2"/>
                <w:sz w:val="24"/>
                <w:highlight w:val="none"/>
              </w:rPr>
            </w:pPr>
            <w:r>
              <w:rPr>
                <w:rFonts w:hint="eastAsia" w:ascii="宋体" w:hAnsi="宋体"/>
                <w:snapToGrid/>
                <w:color w:val="auto"/>
                <w:kern w:val="2"/>
                <w:sz w:val="24"/>
                <w:highlight w:val="none"/>
              </w:rPr>
              <w:t>P</w:t>
            </w:r>
            <w:r>
              <w:rPr>
                <w:rFonts w:hint="eastAsia" w:ascii="宋体" w:hAnsi="宋体"/>
                <w:snapToGrid/>
                <w:color w:val="auto"/>
                <w:kern w:val="2"/>
                <w:sz w:val="24"/>
                <w:highlight w:val="none"/>
                <w:vertAlign w:val="subscript"/>
              </w:rPr>
              <w:t>4</w:t>
            </w:r>
          </w:p>
        </w:tc>
        <w:tc>
          <w:tcPr>
            <w:tcW w:w="1720" w:type="pct"/>
            <w:noWrap w:val="0"/>
            <w:vAlign w:val="center"/>
          </w:tcPr>
          <w:p w14:paraId="512D54EE">
            <w:pPr>
              <w:adjustRightInd w:val="0"/>
              <w:snapToGrid w:val="0"/>
              <w:spacing w:line="360" w:lineRule="auto"/>
              <w:jc w:val="center"/>
              <w:rPr>
                <w:rFonts w:hint="eastAsia" w:ascii="宋体" w:hAnsi="宋体"/>
                <w:color w:val="auto"/>
                <w:highlight w:val="none"/>
              </w:rPr>
            </w:pPr>
            <w:r>
              <w:rPr>
                <w:rFonts w:hint="eastAsia" w:ascii="宋体" w:hAnsi="宋体"/>
                <w:color w:val="auto"/>
                <w:szCs w:val="28"/>
                <w:highlight w:val="none"/>
              </w:rPr>
              <w:t>其它设施</w:t>
            </w:r>
          </w:p>
        </w:tc>
        <w:tc>
          <w:tcPr>
            <w:tcW w:w="2024" w:type="pct"/>
            <w:noWrap w:val="0"/>
            <w:vAlign w:val="center"/>
          </w:tcPr>
          <w:p w14:paraId="1422E480">
            <w:pPr>
              <w:widowControl/>
              <w:adjustRightInd w:val="0"/>
              <w:snapToGrid w:val="0"/>
              <w:spacing w:line="360" w:lineRule="auto"/>
              <w:jc w:val="center"/>
              <w:rPr>
                <w:rFonts w:hint="eastAsia" w:ascii="宋体" w:hAnsi="宋体"/>
                <w:color w:val="auto"/>
                <w:highlight w:val="none"/>
              </w:rPr>
            </w:pPr>
            <w:r>
              <w:rPr>
                <w:rFonts w:hint="eastAsia" w:ascii="宋体" w:hAnsi="宋体"/>
                <w:color w:val="auto"/>
                <w:highlight w:val="none"/>
              </w:rPr>
              <w:t>安全检查表</w:t>
            </w:r>
          </w:p>
        </w:tc>
      </w:tr>
    </w:tbl>
    <w:p w14:paraId="2ECCB43C">
      <w:pPr>
        <w:adjustRightInd w:val="0"/>
        <w:snapToGrid w:val="0"/>
        <w:spacing w:line="360" w:lineRule="auto"/>
        <w:ind w:firstLine="562" w:firstLineChars="200"/>
        <w:outlineLvl w:val="2"/>
        <w:rPr>
          <w:rFonts w:hint="eastAsia" w:ascii="黑体" w:hAnsi="宋体" w:eastAsia="黑体"/>
          <w:b/>
          <w:color w:val="auto"/>
          <w:sz w:val="28"/>
          <w:szCs w:val="28"/>
          <w:highlight w:val="none"/>
        </w:rPr>
      </w:pPr>
      <w:r>
        <w:rPr>
          <w:rFonts w:hint="eastAsia" w:ascii="黑体" w:hAnsi="宋体" w:eastAsia="黑体"/>
          <w:b/>
          <w:color w:val="auto"/>
          <w:sz w:val="28"/>
          <w:szCs w:val="28"/>
          <w:highlight w:val="none"/>
        </w:rPr>
        <w:t>4.2.2 评价方法选用说明</w:t>
      </w:r>
    </w:p>
    <w:p w14:paraId="253F5490">
      <w:pPr>
        <w:adjustRightInd w:val="0"/>
        <w:snapToGrid w:val="0"/>
        <w:spacing w:line="360" w:lineRule="auto"/>
        <w:ind w:firstLine="560" w:firstLineChars="200"/>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（1）对上述4个评价单元采用安全检查表法，判断设计、安装中涉及的安全设施及对策措施的充分性。</w:t>
      </w:r>
    </w:p>
    <w:p w14:paraId="79221FBC">
      <w:pPr>
        <w:adjustRightInd w:val="0"/>
        <w:snapToGrid w:val="0"/>
        <w:spacing w:line="360" w:lineRule="auto"/>
        <w:ind w:firstLine="560" w:firstLineChars="200"/>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（2）对上述4个评价单元存在的危险、有害因素采用预先危险性分析法（PHA），预测各危险、有害因素的固有危险、有害程度。</w:t>
      </w:r>
    </w:p>
    <w:p w14:paraId="7A1EBC25">
      <w:pPr>
        <w:adjustRightInd w:val="0"/>
        <w:snapToGrid w:val="0"/>
        <w:spacing w:line="360" w:lineRule="auto"/>
        <w:ind w:firstLine="560" w:firstLineChars="200"/>
        <w:rPr>
          <w:rFonts w:hint="eastAsia" w:ascii="宋体" w:hAnsi="宋体"/>
          <w:snapToGrid w:val="0"/>
          <w:color w:val="auto"/>
          <w:spacing w:val="0"/>
          <w:kern w:val="0"/>
          <w:sz w:val="28"/>
          <w:highlight w:val="none"/>
        </w:rPr>
      </w:pPr>
      <w:r>
        <w:rPr>
          <w:rFonts w:hint="eastAsia" w:ascii="宋体" w:hAnsi="宋体"/>
          <w:snapToGrid w:val="0"/>
          <w:color w:val="auto"/>
          <w:spacing w:val="0"/>
          <w:kern w:val="0"/>
          <w:sz w:val="28"/>
          <w:highlight w:val="none"/>
        </w:rPr>
        <w:t>（3）通过事故树分析详细查明系统各种固有、潜在的危险因素或事故原因，为项目正式运营制定安全技术对策、采取安全管理措施和事故分析提供依据。</w:t>
      </w:r>
    </w:p>
    <w:bookmarkEnd w:id="4"/>
    <w:p w14:paraId="07827DCE">
      <w:pPr>
        <w:pStyle w:val="6"/>
        <w:adjustRightInd w:val="0"/>
        <w:snapToGrid w:val="0"/>
        <w:spacing w:before="0" w:after="0" w:line="360" w:lineRule="auto"/>
        <w:jc w:val="center"/>
        <w:rPr>
          <w:rFonts w:hint="eastAsia" w:ascii="楷体_GB2312" w:eastAsia="楷体_GB2312"/>
          <w:color w:val="auto"/>
          <w:highlight w:val="none"/>
        </w:rPr>
      </w:pPr>
      <w:bookmarkStart w:id="7" w:name="_Toc80"/>
    </w:p>
    <w:bookmarkEnd w:id="7"/>
    <w:p w14:paraId="3B8B7285">
      <w:pPr>
        <w:widowControl/>
        <w:spacing w:line="360" w:lineRule="auto"/>
        <w:jc w:val="center"/>
        <w:textAlignment w:val="baseline"/>
        <w:rPr>
          <w:rFonts w:hint="eastAsia" w:ascii="黑体" w:hAnsi="黑体" w:eastAsia="黑体" w:cs="黑体"/>
          <w:color w:val="auto"/>
          <w:kern w:val="0"/>
          <w:sz w:val="24"/>
          <w:szCs w:val="24"/>
          <w:u w:color="000000"/>
          <w:lang w:val="en-US" w:eastAsia="zh-CN"/>
        </w:rPr>
      </w:pPr>
      <w:bookmarkStart w:id="8" w:name="_GoBack"/>
      <w:bookmarkEnd w:id="8"/>
      <w:r>
        <w:rPr>
          <w:rFonts w:hint="eastAsia" w:ascii="黑体" w:hAnsi="黑体" w:eastAsia="黑体" w:cs="黑体"/>
          <w:b/>
          <w:color w:val="auto"/>
          <w:sz w:val="28"/>
          <w:szCs w:val="28"/>
          <w:highlight w:val="none"/>
        </w:rPr>
        <w:br w:type="page"/>
      </w:r>
      <w:r>
        <w:rPr>
          <w:rFonts w:hint="eastAsia" w:ascii="黑体" w:hAnsi="黑体" w:eastAsia="黑体" w:cs="黑体"/>
          <w:color w:val="auto"/>
          <w:kern w:val="0"/>
          <w:sz w:val="24"/>
          <w:szCs w:val="24"/>
          <w:u w:color="000000"/>
          <w:lang w:val="en-US" w:eastAsia="zh-CN"/>
        </w:rPr>
        <w:drawing>
          <wp:inline distT="0" distB="0" distL="114300" distR="114300">
            <wp:extent cx="5721985" cy="4291330"/>
            <wp:effectExtent l="0" t="0" r="8255" b="6350"/>
            <wp:docPr id="2" name="图片 2" descr="IMG_20251013_10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013_105025"/>
                    <pic:cNvPicPr>
                      <a:picLocks noChangeAspect="1"/>
                    </pic:cNvPicPr>
                  </pic:nvPicPr>
                  <pic:blipFill>
                    <a:blip r:embed="rId4"/>
                    <a:stretch>
                      <a:fillRect/>
                    </a:stretch>
                  </pic:blipFill>
                  <pic:spPr>
                    <a:xfrm>
                      <a:off x="0" y="0"/>
                      <a:ext cx="5721985" cy="4291330"/>
                    </a:xfrm>
                    <a:prstGeom prst="rect">
                      <a:avLst/>
                    </a:prstGeom>
                  </pic:spPr>
                </pic:pic>
              </a:graphicData>
            </a:graphic>
          </wp:inline>
        </w:drawing>
      </w:r>
      <w:r>
        <w:rPr>
          <w:rFonts w:hint="eastAsia" w:ascii="黑体" w:hAnsi="黑体" w:eastAsia="黑体" w:cs="黑体"/>
          <w:color w:val="auto"/>
          <w:kern w:val="0"/>
          <w:sz w:val="24"/>
          <w:szCs w:val="24"/>
          <w:u w:color="000000"/>
          <w:lang w:val="en-US" w:eastAsia="zh-CN"/>
        </w:rPr>
        <w:drawing>
          <wp:inline distT="0" distB="0" distL="114300" distR="114300">
            <wp:extent cx="5721985" cy="4291330"/>
            <wp:effectExtent l="0" t="0" r="8255" b="6350"/>
            <wp:docPr id="1" name="图片 1" descr="IMG_20251013_10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013_105237"/>
                    <pic:cNvPicPr>
                      <a:picLocks noChangeAspect="1"/>
                    </pic:cNvPicPr>
                  </pic:nvPicPr>
                  <pic:blipFill>
                    <a:blip r:embed="rId5"/>
                    <a:stretch>
                      <a:fillRect/>
                    </a:stretch>
                  </pic:blipFill>
                  <pic:spPr>
                    <a:xfrm>
                      <a:off x="0" y="0"/>
                      <a:ext cx="5721985" cy="4291330"/>
                    </a:xfrm>
                    <a:prstGeom prst="rect">
                      <a:avLst/>
                    </a:prstGeom>
                  </pic:spPr>
                </pic:pic>
              </a:graphicData>
            </a:graphic>
          </wp:inline>
        </w:drawing>
      </w:r>
      <w:r>
        <w:rPr>
          <w:rFonts w:hint="eastAsia" w:ascii="黑体" w:hAnsi="黑体" w:eastAsia="黑体" w:cs="黑体"/>
          <w:color w:val="auto"/>
          <w:kern w:val="0"/>
          <w:sz w:val="24"/>
          <w:szCs w:val="24"/>
          <w:u w:color="000000"/>
          <w:lang w:val="en-US" w:eastAsia="zh-CN"/>
        </w:rPr>
        <w:drawing>
          <wp:inline distT="0" distB="0" distL="114300" distR="114300">
            <wp:extent cx="5751830" cy="3675380"/>
            <wp:effectExtent l="0" t="0" r="8890" b="12700"/>
            <wp:docPr id="4" name="图片 4" descr="IMG_20251013_16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013_163006"/>
                    <pic:cNvPicPr>
                      <a:picLocks noChangeAspect="1"/>
                    </pic:cNvPicPr>
                  </pic:nvPicPr>
                  <pic:blipFill>
                    <a:blip r:embed="rId6"/>
                    <a:stretch>
                      <a:fillRect/>
                    </a:stretch>
                  </pic:blipFill>
                  <pic:spPr>
                    <a:xfrm>
                      <a:off x="0" y="0"/>
                      <a:ext cx="5751830" cy="3675380"/>
                    </a:xfrm>
                    <a:prstGeom prst="rect">
                      <a:avLst/>
                    </a:prstGeom>
                  </pic:spPr>
                </pic:pic>
              </a:graphicData>
            </a:graphic>
          </wp:inline>
        </w:drawing>
      </w:r>
      <w:r>
        <w:rPr>
          <w:rFonts w:hint="eastAsia" w:ascii="黑体" w:hAnsi="黑体" w:eastAsia="黑体" w:cs="黑体"/>
          <w:color w:val="auto"/>
          <w:kern w:val="0"/>
          <w:sz w:val="24"/>
          <w:szCs w:val="24"/>
          <w:u w:color="000000"/>
          <w:lang w:val="en-US" w:eastAsia="zh-CN"/>
        </w:rPr>
        <w:drawing>
          <wp:inline distT="0" distB="0" distL="114300" distR="114300">
            <wp:extent cx="5751830" cy="3733165"/>
            <wp:effectExtent l="0" t="0" r="8890" b="635"/>
            <wp:docPr id="3" name="图片 3" descr="IMG_20251013_163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013_163837"/>
                    <pic:cNvPicPr>
                      <a:picLocks noChangeAspect="1"/>
                    </pic:cNvPicPr>
                  </pic:nvPicPr>
                  <pic:blipFill>
                    <a:blip r:embed="rId7"/>
                    <a:stretch>
                      <a:fillRect/>
                    </a:stretch>
                  </pic:blipFill>
                  <pic:spPr>
                    <a:xfrm>
                      <a:off x="0" y="0"/>
                      <a:ext cx="5751830" cy="3733165"/>
                    </a:xfrm>
                    <a:prstGeom prst="rect">
                      <a:avLst/>
                    </a:prstGeom>
                  </pic:spPr>
                </pic:pic>
              </a:graphicData>
            </a:graphic>
          </wp:inline>
        </w:drawing>
      </w:r>
    </w:p>
    <w:p w14:paraId="0B91335D">
      <w:pPr>
        <w:pStyle w:val="2"/>
        <w:rPr>
          <w:rFonts w:hint="eastAsia"/>
          <w:lang w:val="en-US" w:eastAsia="zh-CN"/>
        </w:rPr>
      </w:pPr>
      <w:r>
        <w:rPr>
          <w:rFonts w:hint="eastAsia"/>
          <w:lang w:val="en-US" w:eastAsia="zh-CN"/>
        </w:rPr>
        <w:drawing>
          <wp:inline distT="0" distB="0" distL="114300" distR="114300">
            <wp:extent cx="2498090" cy="4441825"/>
            <wp:effectExtent l="0" t="0" r="1270" b="8255"/>
            <wp:docPr id="7" name="图片 7" descr="3ae6a14e0921298d88129380cb296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ae6a14e0921298d88129380cb2965b"/>
                    <pic:cNvPicPr>
                      <a:picLocks noChangeAspect="1"/>
                    </pic:cNvPicPr>
                  </pic:nvPicPr>
                  <pic:blipFill>
                    <a:blip r:embed="rId8"/>
                    <a:stretch>
                      <a:fillRect/>
                    </a:stretch>
                  </pic:blipFill>
                  <pic:spPr>
                    <a:xfrm>
                      <a:off x="0" y="0"/>
                      <a:ext cx="2498090" cy="4441825"/>
                    </a:xfrm>
                    <a:prstGeom prst="rect">
                      <a:avLst/>
                    </a:prstGeom>
                  </pic:spPr>
                </pic:pic>
              </a:graphicData>
            </a:graphic>
          </wp:inline>
        </w:drawing>
      </w:r>
      <w:r>
        <w:rPr>
          <w:rFonts w:hint="eastAsia"/>
          <w:lang w:val="en-US" w:eastAsia="zh-CN"/>
        </w:rPr>
        <w:drawing>
          <wp:inline distT="0" distB="0" distL="114300" distR="114300">
            <wp:extent cx="2503805" cy="4451350"/>
            <wp:effectExtent l="0" t="0" r="10795" b="13970"/>
            <wp:docPr id="8" name="图片 8" descr="70313d0db60950c39bd84b1382f1e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0313d0db60950c39bd84b1382f1ea9"/>
                    <pic:cNvPicPr>
                      <a:picLocks noChangeAspect="1"/>
                    </pic:cNvPicPr>
                  </pic:nvPicPr>
                  <pic:blipFill>
                    <a:blip r:embed="rId9"/>
                    <a:stretch>
                      <a:fillRect/>
                    </a:stretch>
                  </pic:blipFill>
                  <pic:spPr>
                    <a:xfrm>
                      <a:off x="0" y="0"/>
                      <a:ext cx="2503805" cy="4451350"/>
                    </a:xfrm>
                    <a:prstGeom prst="rect">
                      <a:avLst/>
                    </a:prstGeom>
                  </pic:spPr>
                </pic:pic>
              </a:graphicData>
            </a:graphic>
          </wp:inline>
        </w:drawing>
      </w:r>
    </w:p>
    <w:p w14:paraId="4A5CE8F0">
      <w:pPr>
        <w:pStyle w:val="2"/>
        <w:rPr>
          <w:rFonts w:hint="eastAsia"/>
          <w:lang w:val="en-US" w:eastAsia="zh-CN"/>
        </w:rPr>
      </w:pPr>
      <w:r>
        <w:rPr>
          <w:rFonts w:hint="eastAsia"/>
          <w:lang w:val="en-US" w:eastAsia="zh-CN"/>
        </w:rPr>
        <w:drawing>
          <wp:inline distT="0" distB="0" distL="114300" distR="114300">
            <wp:extent cx="2487930" cy="4422775"/>
            <wp:effectExtent l="0" t="0" r="11430" b="12065"/>
            <wp:docPr id="9" name="图片 9" descr="86f41fbb46beabc5fbf6b1f2b614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6f41fbb46beabc5fbf6b1f2b6144dc"/>
                    <pic:cNvPicPr>
                      <a:picLocks noChangeAspect="1"/>
                    </pic:cNvPicPr>
                  </pic:nvPicPr>
                  <pic:blipFill>
                    <a:blip r:embed="rId10"/>
                    <a:stretch>
                      <a:fillRect/>
                    </a:stretch>
                  </pic:blipFill>
                  <pic:spPr>
                    <a:xfrm>
                      <a:off x="0" y="0"/>
                      <a:ext cx="2487930" cy="4422775"/>
                    </a:xfrm>
                    <a:prstGeom prst="rect">
                      <a:avLst/>
                    </a:prstGeom>
                  </pic:spPr>
                </pic:pic>
              </a:graphicData>
            </a:graphic>
          </wp:inline>
        </w:drawing>
      </w:r>
      <w:r>
        <w:rPr>
          <w:rFonts w:hint="eastAsia"/>
          <w:lang w:val="en-US" w:eastAsia="zh-CN"/>
        </w:rPr>
        <w:drawing>
          <wp:inline distT="0" distB="0" distL="114300" distR="114300">
            <wp:extent cx="2503805" cy="4451350"/>
            <wp:effectExtent l="0" t="0" r="10795" b="13970"/>
            <wp:docPr id="10" name="图片 10" descr="257f16cee034c8e9558e590321ff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57f16cee034c8e9558e590321ff64c"/>
                    <pic:cNvPicPr>
                      <a:picLocks noChangeAspect="1"/>
                    </pic:cNvPicPr>
                  </pic:nvPicPr>
                  <pic:blipFill>
                    <a:blip r:embed="rId11"/>
                    <a:stretch>
                      <a:fillRect/>
                    </a:stretch>
                  </pic:blipFill>
                  <pic:spPr>
                    <a:xfrm>
                      <a:off x="0" y="0"/>
                      <a:ext cx="2503805" cy="445135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976389"/>
    <w:rsid w:val="0BD51C61"/>
    <w:rsid w:val="0EDC1223"/>
    <w:rsid w:val="12386C7D"/>
    <w:rsid w:val="13D12EE6"/>
    <w:rsid w:val="141A7924"/>
    <w:rsid w:val="153C4810"/>
    <w:rsid w:val="160D5A33"/>
    <w:rsid w:val="16BC1C2B"/>
    <w:rsid w:val="1C4A2E55"/>
    <w:rsid w:val="1DE92E23"/>
    <w:rsid w:val="1DFD0355"/>
    <w:rsid w:val="1E1E483E"/>
    <w:rsid w:val="1F5B398D"/>
    <w:rsid w:val="1FF73CD4"/>
    <w:rsid w:val="22CB7136"/>
    <w:rsid w:val="284F788D"/>
    <w:rsid w:val="2A9D36CA"/>
    <w:rsid w:val="2CBC252D"/>
    <w:rsid w:val="2E5E68CC"/>
    <w:rsid w:val="2EC41433"/>
    <w:rsid w:val="2F917EEC"/>
    <w:rsid w:val="305C2962"/>
    <w:rsid w:val="31297B3A"/>
    <w:rsid w:val="355F439E"/>
    <w:rsid w:val="35CC29B8"/>
    <w:rsid w:val="361E3E5D"/>
    <w:rsid w:val="37A6654A"/>
    <w:rsid w:val="386A7D3B"/>
    <w:rsid w:val="38B36882"/>
    <w:rsid w:val="3BB85D78"/>
    <w:rsid w:val="3C176B62"/>
    <w:rsid w:val="420C1409"/>
    <w:rsid w:val="43CB4C37"/>
    <w:rsid w:val="4706325F"/>
    <w:rsid w:val="47290367"/>
    <w:rsid w:val="48FE4AE5"/>
    <w:rsid w:val="4ECC7680"/>
    <w:rsid w:val="4F5D6EDB"/>
    <w:rsid w:val="537F016A"/>
    <w:rsid w:val="563D798B"/>
    <w:rsid w:val="567C6788"/>
    <w:rsid w:val="579A241E"/>
    <w:rsid w:val="58840D76"/>
    <w:rsid w:val="58A8560A"/>
    <w:rsid w:val="5C8B1D2D"/>
    <w:rsid w:val="5D511379"/>
    <w:rsid w:val="60FB542C"/>
    <w:rsid w:val="620622D4"/>
    <w:rsid w:val="636808F8"/>
    <w:rsid w:val="64FD4259"/>
    <w:rsid w:val="69194288"/>
    <w:rsid w:val="6A640607"/>
    <w:rsid w:val="6AD40467"/>
    <w:rsid w:val="6B3179BA"/>
    <w:rsid w:val="6BF95CAB"/>
    <w:rsid w:val="6C4D48B3"/>
    <w:rsid w:val="6D0669CA"/>
    <w:rsid w:val="6FDF53A7"/>
    <w:rsid w:val="717A11AE"/>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宋体"/>
      <w:spacing w:val="8"/>
      <w:kern w:val="2"/>
      <w:sz w:val="21"/>
      <w:szCs w:val="24"/>
    </w:rPr>
  </w:style>
  <w:style w:type="paragraph" w:styleId="3">
    <w:name w:val="Body Text Indent"/>
    <w:basedOn w:val="1"/>
    <w:next w:val="4"/>
    <w:qFormat/>
    <w:uiPriority w:val="0"/>
    <w:pPr>
      <w:spacing w:after="120"/>
      <w:ind w:left="420" w:leftChars="200"/>
    </w:pPr>
  </w:style>
  <w:style w:type="paragraph" w:styleId="4">
    <w:name w:val="Body Text First Indent"/>
    <w:basedOn w:val="5"/>
    <w:next w:val="1"/>
    <w:qFormat/>
    <w:uiPriority w:val="0"/>
    <w:pPr>
      <w:ind w:firstLine="420" w:firstLineChars="100"/>
    </w:pPr>
    <w:rPr>
      <w:b/>
      <w:u w:val="single"/>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7">
    <w:name w:val="Normal Indent"/>
    <w:basedOn w:val="1"/>
    <w:qFormat/>
    <w:uiPriority w:val="99"/>
    <w:pPr>
      <w:ind w:firstLine="420"/>
    </w:pPr>
  </w:style>
  <w:style w:type="paragraph" w:styleId="8">
    <w:name w:val="annotation text"/>
    <w:basedOn w:val="1"/>
    <w:qFormat/>
    <w:uiPriority w:val="99"/>
    <w:pPr>
      <w:ind w:firstLine="200" w:firstLineChars="200"/>
      <w:jc w:val="left"/>
    </w:pPr>
    <w:rPr>
      <w:sz w:val="28"/>
      <w:szCs w:val="20"/>
      <w:u w:color="000000"/>
    </w:rPr>
  </w:style>
  <w:style w:type="paragraph" w:styleId="9">
    <w:name w:val="Plain Text"/>
    <w:basedOn w:val="1"/>
    <w:unhideWhenUsed/>
    <w:qFormat/>
    <w:uiPriority w:val="99"/>
    <w:rPr>
      <w:rFonts w:ascii="宋体" w:hAnsi="Courier New"/>
      <w:kern w:val="0"/>
      <w:sz w:val="20"/>
      <w:szCs w:val="20"/>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annotation reference"/>
    <w:qFormat/>
    <w:uiPriority w:val="99"/>
    <w:rPr>
      <w:sz w:val="21"/>
      <w:szCs w:val="21"/>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111"/>
    <w:basedOn w:val="16"/>
    <w:qFormat/>
    <w:uiPriority w:val="0"/>
    <w:pPr>
      <w:widowControl/>
      <w:spacing w:beforeAutospacing="0" w:afterAutospacing="0"/>
      <w:jc w:val="left"/>
    </w:pPr>
    <w:rPr>
      <w:rFonts w:ascii="宋体" w:hAnsi="宋体" w:eastAsia="宋体" w:cs="宋体"/>
      <w:kern w:val="0"/>
      <w:sz w:val="24"/>
      <w:szCs w:val="24"/>
    </w:rPr>
  </w:style>
  <w:style w:type="paragraph" w:customStyle="1" w:styleId="16">
    <w:name w:val="题目"/>
    <w:basedOn w:val="1"/>
    <w:qFormat/>
    <w:uiPriority w:val="0"/>
    <w:pPr>
      <w:jc w:val="center"/>
      <w:outlineLvl w:val="0"/>
    </w:pPr>
    <w:rPr>
      <w:rFonts w:ascii="黑体" w:hAnsi="黑体" w:eastAsia="黑体"/>
      <w:sz w:val="32"/>
      <w:szCs w:val="32"/>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20">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21">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2">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3">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4">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5">
    <w:name w:val="表内文字"/>
    <w:basedOn w:val="9"/>
    <w:qFormat/>
    <w:uiPriority w:val="0"/>
    <w:pPr>
      <w:spacing w:line="320" w:lineRule="exact"/>
      <w:jc w:val="center"/>
    </w:pPr>
    <w:rPr>
      <w:rFonts w:ascii="Times New Roman" w:hAnsi="Times New Roman"/>
      <w:kern w:val="2"/>
      <w:sz w:val="21"/>
      <w:szCs w:val="21"/>
      <w:u w:color="000000"/>
    </w:rPr>
  </w:style>
  <w:style w:type="paragraph" w:customStyle="1" w:styleId="26">
    <w:name w:val="5表格内容"/>
    <w:basedOn w:val="27"/>
    <w:qFormat/>
    <w:uiPriority w:val="0"/>
    <w:pPr>
      <w:spacing w:beforeLines="0" w:line="300" w:lineRule="exact"/>
    </w:pPr>
    <w:rPr>
      <w:rFonts w:eastAsia="宋体"/>
      <w:color w:val="auto"/>
      <w:sz w:val="21"/>
      <w:szCs w:val="21"/>
    </w:rPr>
  </w:style>
  <w:style w:type="paragraph" w:customStyle="1" w:styleId="27">
    <w:name w:val="表名"/>
    <w:basedOn w:val="9"/>
    <w:qFormat/>
    <w:uiPriority w:val="0"/>
    <w:pPr>
      <w:spacing w:beforeLines="50" w:line="360" w:lineRule="exact"/>
      <w:jc w:val="center"/>
    </w:pPr>
    <w:rPr>
      <w:rFonts w:ascii="Times New Roman" w:hAnsi="Times New Roman" w:eastAsia="黑体"/>
      <w:color w:val="000000"/>
      <w:kern w:val="2"/>
      <w:sz w:val="24"/>
      <w:szCs w:val="28"/>
      <w:u w:color="000000"/>
    </w:rPr>
  </w:style>
  <w:style w:type="paragraph" w:customStyle="1" w:styleId="28">
    <w:name w:val="6表格标题"/>
    <w:basedOn w:val="29"/>
    <w:qFormat/>
    <w:uiPriority w:val="0"/>
    <w:pPr>
      <w:widowControl/>
      <w:spacing w:line="520" w:lineRule="exact"/>
      <w:jc w:val="center"/>
      <w:outlineLvl w:val="4"/>
    </w:pPr>
    <w:rPr>
      <w:color w:val="FF0000"/>
    </w:rPr>
  </w:style>
  <w:style w:type="paragraph" w:customStyle="1" w:styleId="29">
    <w:name w:val="评价表格标题"/>
    <w:qFormat/>
    <w:uiPriority w:val="99"/>
    <w:pPr>
      <w:spacing w:line="400" w:lineRule="exact"/>
      <w:jc w:val="center"/>
    </w:pPr>
    <w:rPr>
      <w:rFonts w:ascii="Times New Roman" w:hAnsi="Times New Roman" w:eastAsia="黑体" w:cs="Times New Roman"/>
      <w:color w:val="000000"/>
      <w:sz w:val="24"/>
      <w:szCs w:val="24"/>
      <w:lang w:val="en-US" w:eastAsia="zh-CN" w:bidi="ar-SA"/>
    </w:rPr>
  </w:style>
  <w:style w:type="paragraph" w:customStyle="1" w:styleId="30">
    <w:name w:val="正文1"/>
    <w:basedOn w:val="1"/>
    <w:qFormat/>
    <w:uiPriority w:val="0"/>
    <w:pPr>
      <w:snapToGrid w:val="0"/>
      <w:spacing w:line="360" w:lineRule="exact"/>
      <w:jc w:val="center"/>
    </w:pPr>
    <w:rPr>
      <w:snapToGrid w:val="0"/>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3244</Words>
  <Characters>3600</Characters>
  <Lines>0</Lines>
  <Paragraphs>0</Paragraphs>
  <TotalTime>7</TotalTime>
  <ScaleCrop>false</ScaleCrop>
  <LinksUpToDate>false</LinksUpToDate>
  <CharactersWithSpaces>3933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2025-10-28T06:10:13Z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