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1"/>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中国石油天然气股份有限公司山东泰安销售分公司新泰新汶蒙馆路加油站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74414B5E">
            <w:pPr>
              <w:adjustRightInd w:val="0"/>
              <w:snapToGrid w:val="0"/>
              <w:rPr>
                <w:rFonts w:hint="eastAsia" w:ascii="宋体" w:hAnsi="宋体"/>
                <w:sz w:val="20"/>
                <w:lang w:eastAsia="zh-CN"/>
              </w:rPr>
            </w:pPr>
            <w:r>
              <w:rPr>
                <w:rFonts w:hint="eastAsia" w:ascii="宋体" w:hAnsi="宋体"/>
                <w:sz w:val="20"/>
                <w:lang w:eastAsia="zh-CN"/>
              </w:rPr>
              <w:t>中国石油天然气股份有限公司山东泰安销售分公司新泰新汶蒙馆路加油站位于蒙馆路南新汶办事处孙村路段，加油站西侧是切纸加工车间、沿街房，北侧是蒙馆路、架空电力线，东侧是沿街房，南侧是闲置房。该站经营许可范围为汽油、乙醇汽油、柴油，现其主要经营储存汽油、乙醇汽油、0#柴油（换季销售-10#柴油）。此次现状评价报告与上次报告相比，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南部，加油区在站房北侧，现有4台双枪加油机：其中2台92#乙醇汽油/柴油双枪加油机、2台95#汽油/柴油双枪加油机，均为自吸式；油罐区布置在站房东侧（均为双层罐，布置在车行道下、承重罐区），自北向南分别为：1台30m³柴油罐、1台30m³92#乙醇汽油罐、1台30m³95#汽油罐、1台30m³92#乙醇汽油罐、1台30m³柴油罐，汽油、柴油卸油口均位于罐区南侧，卸油口西侧共有通气管5根（含油气回收装置通气管）；按《汽车加油加气加氢站技术标准》GB50156-2021标准规定：V=90+60/2=120m³，该站属二级加油站；该站汽油设有卸油油气回收系统、加油油气回收系统及油气回收装置（三次油气回收系统）</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2025.10.11</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10.13</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10.16</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6"/>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54370" cy="8529955"/>
            <wp:effectExtent l="0" t="0" r="17780" b="4445"/>
            <wp:docPr id="3" name="图片 3" descr="扫描全能王 2025-11-21 11.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11-21 11.28_1"/>
                    <pic:cNvPicPr>
                      <a:picLocks noChangeAspect="1"/>
                    </pic:cNvPicPr>
                  </pic:nvPicPr>
                  <pic:blipFill>
                    <a:blip r:embed="rId4"/>
                    <a:stretch>
                      <a:fillRect/>
                    </a:stretch>
                  </pic:blipFill>
                  <pic:spPr>
                    <a:xfrm>
                      <a:off x="0" y="0"/>
                      <a:ext cx="5754370" cy="8529955"/>
                    </a:xfrm>
                    <a:prstGeom prst="rect">
                      <a:avLst/>
                    </a:prstGeom>
                  </pic:spPr>
                </pic:pic>
              </a:graphicData>
            </a:graphic>
          </wp:inline>
        </w:drawing>
      </w:r>
      <w:r>
        <w:rPr>
          <w:rFonts w:hint="eastAsia" w:eastAsia="宋体" w:cs="宋体"/>
          <w:color w:val="auto"/>
          <w:lang w:eastAsia="zh-CN"/>
        </w:rPr>
        <w:drawing>
          <wp:inline distT="0" distB="0" distL="114300" distR="114300">
            <wp:extent cx="5758815" cy="8625840"/>
            <wp:effectExtent l="0" t="0" r="13335" b="3810"/>
            <wp:docPr id="2" name="图片 2" descr="扫描全能王 2025-11-21 11.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11-21 11.28_2"/>
                    <pic:cNvPicPr>
                      <a:picLocks noChangeAspect="1"/>
                    </pic:cNvPicPr>
                  </pic:nvPicPr>
                  <pic:blipFill>
                    <a:blip r:embed="rId5"/>
                    <a:stretch>
                      <a:fillRect/>
                    </a:stretch>
                  </pic:blipFill>
                  <pic:spPr>
                    <a:xfrm>
                      <a:off x="0" y="0"/>
                      <a:ext cx="5758815" cy="8625840"/>
                    </a:xfrm>
                    <a:prstGeom prst="rect">
                      <a:avLst/>
                    </a:prstGeom>
                  </pic:spPr>
                </pic:pic>
              </a:graphicData>
            </a:graphic>
          </wp:inline>
        </w:drawing>
      </w:r>
      <w:r>
        <w:rPr>
          <w:rFonts w:hint="eastAsia" w:eastAsia="宋体" w:cs="宋体"/>
          <w:color w:val="auto"/>
          <w:lang w:eastAsia="zh-CN"/>
        </w:rPr>
        <w:drawing>
          <wp:inline distT="0" distB="0" distL="114300" distR="114300">
            <wp:extent cx="5760720" cy="8809355"/>
            <wp:effectExtent l="0" t="0" r="11430" b="10795"/>
            <wp:docPr id="1" name="图片 1" descr="扫描全能王 2025-11-21 11.2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11-21 11.28_3"/>
                    <pic:cNvPicPr>
                      <a:picLocks noChangeAspect="1"/>
                    </pic:cNvPicPr>
                  </pic:nvPicPr>
                  <pic:blipFill>
                    <a:blip r:embed="rId6"/>
                    <a:stretch>
                      <a:fillRect/>
                    </a:stretch>
                  </pic:blipFill>
                  <pic:spPr>
                    <a:xfrm>
                      <a:off x="0" y="0"/>
                      <a:ext cx="5760720" cy="880935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中国石油天然气股份有限公司山东泰安销售分公司新泰新汶蒙馆路加油站</w:t>
      </w:r>
      <w:r>
        <w:rPr>
          <w:rFonts w:hint="eastAsia" w:ascii="宋体" w:hAnsi="宋体" w:eastAsia="宋体" w:cs="宋体"/>
          <w:kern w:val="0"/>
          <w:sz w:val="24"/>
        </w:rPr>
        <w:t>安全现状评价现场照片</w:t>
      </w:r>
    </w:p>
    <w:p w14:paraId="378CA0D8">
      <w:pPr>
        <w:pStyle w:val="6"/>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579745" cy="4184650"/>
            <wp:effectExtent l="0" t="0" r="1905" b="6350"/>
            <wp:docPr id="5" name="图片 5" descr="IMG_20251013_15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1013_154546"/>
                    <pic:cNvPicPr>
                      <a:picLocks noChangeAspect="1"/>
                    </pic:cNvPicPr>
                  </pic:nvPicPr>
                  <pic:blipFill>
                    <a:blip r:embed="rId7"/>
                    <a:stretch>
                      <a:fillRect/>
                    </a:stretch>
                  </pic:blipFill>
                  <pic:spPr>
                    <a:xfrm>
                      <a:off x="0" y="0"/>
                      <a:ext cx="5579745" cy="4184650"/>
                    </a:xfrm>
                    <a:prstGeom prst="rect">
                      <a:avLst/>
                    </a:prstGeom>
                  </pic:spPr>
                </pic:pic>
              </a:graphicData>
            </a:graphic>
          </wp:inline>
        </w:drawing>
      </w:r>
      <w:r>
        <w:rPr>
          <w:rFonts w:hint="eastAsia" w:eastAsiaTheme="minorEastAsia"/>
          <w:lang w:eastAsia="zh-CN"/>
        </w:rPr>
        <w:drawing>
          <wp:inline distT="0" distB="0" distL="114300" distR="114300">
            <wp:extent cx="5321935" cy="3991610"/>
            <wp:effectExtent l="0" t="0" r="12065" b="8890"/>
            <wp:docPr id="4" name="图片 4" descr="IMG_20251013_15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1013_154607"/>
                    <pic:cNvPicPr>
                      <a:picLocks noChangeAspect="1"/>
                    </pic:cNvPicPr>
                  </pic:nvPicPr>
                  <pic:blipFill>
                    <a:blip r:embed="rId8"/>
                    <a:stretch>
                      <a:fillRect/>
                    </a:stretch>
                  </pic:blipFill>
                  <pic:spPr>
                    <a:xfrm>
                      <a:off x="0" y="0"/>
                      <a:ext cx="5321935" cy="3991610"/>
                    </a:xfrm>
                    <a:prstGeom prst="rect">
                      <a:avLst/>
                    </a:prstGeom>
                  </pic:spPr>
                </pic:pic>
              </a:graphicData>
            </a:graphic>
          </wp:inline>
        </w:drawing>
      </w:r>
    </w:p>
    <w:p w14:paraId="3CBAF212">
      <w:pPr>
        <w:pStyle w:val="18"/>
        <w:widowControl w:val="0"/>
        <w:adjustRightInd w:val="0"/>
        <w:snapToGrid w:val="0"/>
        <w:spacing w:before="468" w:beforeLines="150" w:after="156" w:afterLines="50" w:line="360" w:lineRule="auto"/>
      </w:pPr>
      <w:r>
        <w:t>第二章 加油站概况</w:t>
      </w:r>
    </w:p>
    <w:p w14:paraId="525BD094">
      <w:pPr>
        <w:adjustRightInd w:val="0"/>
        <w:snapToGrid w:val="0"/>
        <w:spacing w:line="360" w:lineRule="auto"/>
        <w:jc w:val="center"/>
        <w:outlineLvl w:val="1"/>
        <w:rPr>
          <w:rFonts w:ascii="Calibri" w:hAnsi="Calibri" w:eastAsia="楷体_GB2312"/>
          <w:b/>
          <w:kern w:val="0"/>
          <w:sz w:val="32"/>
          <w:szCs w:val="20"/>
        </w:rPr>
      </w:pPr>
      <w:bookmarkStart w:id="0" w:name="_Toc102634396"/>
      <w:bookmarkStart w:id="1" w:name="_Toc102633970"/>
      <w:bookmarkStart w:id="2" w:name="_Toc102634227"/>
      <w:bookmarkStart w:id="3" w:name="_Toc102633896"/>
      <w:bookmarkStart w:id="4" w:name="_Toc208733856"/>
      <w:bookmarkStart w:id="5" w:name="_Toc30066"/>
      <w:bookmarkStart w:id="6" w:name="_Toc15033743"/>
      <w:bookmarkStart w:id="7" w:name="_Toc26504"/>
      <w:bookmarkStart w:id="8" w:name="_Toc272364524"/>
      <w:r>
        <w:rPr>
          <w:rFonts w:ascii="Calibri" w:hAnsi="Calibri" w:eastAsia="楷体_GB2312"/>
          <w:b/>
          <w:kern w:val="0"/>
          <w:sz w:val="32"/>
          <w:szCs w:val="20"/>
        </w:rPr>
        <w:t>第一节 加油站基本情况</w:t>
      </w:r>
      <w:bookmarkEnd w:id="0"/>
      <w:bookmarkEnd w:id="1"/>
      <w:bookmarkEnd w:id="2"/>
      <w:bookmarkEnd w:id="3"/>
      <w:bookmarkEnd w:id="4"/>
      <w:bookmarkEnd w:id="5"/>
      <w:bookmarkEnd w:id="6"/>
      <w:bookmarkEnd w:id="7"/>
      <w:bookmarkEnd w:id="8"/>
    </w:p>
    <w:p w14:paraId="33BB1ABB">
      <w:pPr>
        <w:adjustRightInd w:val="0"/>
        <w:snapToGrid w:val="0"/>
        <w:spacing w:line="360" w:lineRule="auto"/>
        <w:ind w:firstLine="560" w:firstLineChars="200"/>
        <w:rPr>
          <w:rFonts w:ascii="宋体"/>
        </w:rPr>
      </w:pPr>
      <w:r>
        <w:rPr>
          <w:rFonts w:hint="eastAsia" w:ascii="宋体" w:hAnsi="宋体"/>
          <w:sz w:val="28"/>
          <w:szCs w:val="28"/>
        </w:rPr>
        <w:t>中国石油天然气股份有限公司山东泰安销售分公司新泰新汶蒙馆路加油站位于</w:t>
      </w:r>
      <w:r>
        <w:rPr>
          <w:rFonts w:hint="eastAsia" w:ascii="宋体" w:hAnsi="宋体"/>
          <w:sz w:val="28"/>
        </w:rPr>
        <w:t>蒙馆路南新汶办事处孙村路段</w:t>
      </w:r>
      <w:r>
        <w:rPr>
          <w:rFonts w:hint="eastAsia" w:ascii="宋体" w:hAnsi="宋体"/>
          <w:sz w:val="28"/>
          <w:szCs w:val="28"/>
        </w:rPr>
        <w:t>，</w:t>
      </w:r>
      <w:r>
        <w:rPr>
          <w:rFonts w:hint="eastAsia" w:ascii="宋体" w:hAnsi="宋体" w:cs="宋体"/>
          <w:sz w:val="28"/>
          <w:szCs w:val="28"/>
        </w:rPr>
        <w:t>加油站</w:t>
      </w:r>
      <w:r>
        <w:rPr>
          <w:rFonts w:hint="eastAsia" w:ascii="宋体" w:hAnsi="宋体"/>
          <w:snapToGrid w:val="0"/>
          <w:kern w:val="0"/>
          <w:sz w:val="28"/>
        </w:rPr>
        <w:t>西侧是切纸加工车间、沿街房，北侧是蒙馆路、架空电力线，东侧是沿街房，南侧是闲置房</w:t>
      </w:r>
      <w:r>
        <w:rPr>
          <w:rFonts w:hint="eastAsia" w:ascii="宋体" w:hAnsi="宋体"/>
          <w:sz w:val="28"/>
          <w:szCs w:val="28"/>
        </w:rPr>
        <w:t>。</w:t>
      </w:r>
      <w:r>
        <w:rPr>
          <w:rFonts w:hint="eastAsia" w:ascii="宋体" w:hAnsi="宋体"/>
          <w:sz w:val="28"/>
        </w:rPr>
        <w:t>该站经营许可范围为</w:t>
      </w:r>
      <w:r>
        <w:rPr>
          <w:rFonts w:hint="eastAsia" w:asciiTheme="minorEastAsia" w:hAnsiTheme="minorEastAsia" w:eastAsiaTheme="minorEastAsia" w:cstheme="minorEastAsia"/>
          <w:sz w:val="28"/>
          <w:szCs w:val="28"/>
        </w:rPr>
        <w:t>汽油、乙醇汽油、</w:t>
      </w:r>
      <w:r>
        <w:rPr>
          <w:rFonts w:hint="eastAsia" w:ascii="宋体" w:hAnsi="宋体"/>
          <w:sz w:val="28"/>
        </w:rPr>
        <w:t>柴油，现其主要经营储存汽油、乙醇汽油、0#柴油（换季销售-</w:t>
      </w:r>
      <w:r>
        <w:rPr>
          <w:rFonts w:ascii="宋体" w:hAnsi="宋体"/>
          <w:sz w:val="28"/>
        </w:rPr>
        <w:t>10#</w:t>
      </w:r>
      <w:r>
        <w:rPr>
          <w:rFonts w:hint="eastAsia" w:ascii="宋体" w:hAnsi="宋体"/>
          <w:sz w:val="28"/>
        </w:rPr>
        <w:t>柴油）</w:t>
      </w:r>
      <w:r>
        <w:rPr>
          <w:rFonts w:hint="eastAsia" w:ascii="宋体" w:hAnsi="宋体"/>
          <w:snapToGrid w:val="0"/>
          <w:kern w:val="0"/>
          <w:sz w:val="28"/>
        </w:rPr>
        <w:t>。</w:t>
      </w:r>
      <w:r>
        <w:rPr>
          <w:rFonts w:hint="eastAsia" w:ascii="宋体" w:hAnsi="宋体"/>
          <w:sz w:val="28"/>
        </w:rPr>
        <w:t>此次现状评价报告与上次报告相比，周边环境、站内设备设施、主要建构筑物均未发生变化。</w:t>
      </w:r>
    </w:p>
    <w:p w14:paraId="2BFD4D47">
      <w:pPr>
        <w:pStyle w:val="17"/>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站区南部，加油区在站房北侧，现有4台双枪加油机：其中2台92#乙醇汽油/柴油双枪加油机、2台95#汽油/柴油双枪加油机，均为自吸式；油罐区布置在站房东侧（均为双层罐，布置在车行道下、承重罐区），自北向南分别为：1台30m³柴油罐、1台30m³92#乙醇汽油罐、1台30m³95#汽油罐、1台30m³92#乙醇汽油罐、1台30m³柴油罐，汽油、柴油卸油口均位于罐区南侧，卸油口西侧共有通气管5根（含油气回收装置通气管）；按《汽车加油加气加氢站技术标准》GB50156-2021标准规定：V=90+60/2=120m³，该站属二级加油站；该站汽油设有卸油油气回收系统、加油油气回收系统及油气回收装置（三次油气回收系统）</w:t>
      </w:r>
      <w:r>
        <w:rPr>
          <w:rFonts w:hint="eastAsia" w:ascii="宋体"/>
        </w:rPr>
        <w:t>。</w:t>
      </w:r>
    </w:p>
    <w:p w14:paraId="2F8A725D">
      <w:pPr>
        <w:pStyle w:val="19"/>
        <w:widowControl w:val="0"/>
        <w:adjustRightInd w:val="0"/>
        <w:snapToGrid w:val="0"/>
        <w:spacing w:line="360" w:lineRule="auto"/>
        <w:outlineLvl w:val="9"/>
      </w:pPr>
      <w:r>
        <w:t>表</w:t>
      </w:r>
      <w:r>
        <w:rPr>
          <w:rFonts w:ascii="黑体" w:hAnsi="黑体"/>
        </w:rPr>
        <w:t xml:space="preserve">2.1-1 </w:t>
      </w:r>
      <w:r>
        <w:t>加油站的等级划分</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4184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D521DE4">
            <w:pPr>
              <w:pStyle w:val="20"/>
              <w:widowControl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251B84E">
            <w:pPr>
              <w:pStyle w:val="2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45DB6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18A62EE">
            <w:pPr>
              <w:pStyle w:val="20"/>
              <w:widowControl w:val="0"/>
              <w:adjustRightInd w:val="0"/>
              <w:snapToGrid w:val="0"/>
              <w:spacing w:line="360" w:lineRule="auto"/>
              <w:rPr>
                <w:rFonts w:ascii="宋体" w:hAnsi="宋体"/>
                <w:b/>
                <w:bCs/>
              </w:rPr>
            </w:pPr>
          </w:p>
        </w:tc>
        <w:tc>
          <w:tcPr>
            <w:tcW w:w="1667" w:type="pct"/>
            <w:vAlign w:val="center"/>
          </w:tcPr>
          <w:p w14:paraId="3501F251">
            <w:pPr>
              <w:pStyle w:val="20"/>
              <w:widowControl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26B9ED90">
            <w:pPr>
              <w:pStyle w:val="20"/>
              <w:widowControl w:val="0"/>
              <w:adjustRightInd w:val="0"/>
              <w:snapToGrid w:val="0"/>
              <w:spacing w:line="360" w:lineRule="auto"/>
              <w:rPr>
                <w:rFonts w:ascii="宋体" w:hAnsi="宋体"/>
                <w:b/>
                <w:bCs/>
              </w:rPr>
            </w:pPr>
            <w:r>
              <w:rPr>
                <w:rFonts w:ascii="宋体" w:hAnsi="宋体"/>
                <w:b/>
                <w:bCs/>
              </w:rPr>
              <w:t>单罐容积</w:t>
            </w:r>
          </w:p>
        </w:tc>
      </w:tr>
      <w:tr w14:paraId="23A74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E18503B">
            <w:pPr>
              <w:pStyle w:val="20"/>
              <w:widowControl w:val="0"/>
              <w:adjustRightInd w:val="0"/>
              <w:snapToGrid w:val="0"/>
              <w:spacing w:line="360" w:lineRule="auto"/>
              <w:rPr>
                <w:rFonts w:ascii="宋体" w:hAnsi="宋体"/>
              </w:rPr>
            </w:pPr>
            <w:r>
              <w:rPr>
                <w:rFonts w:ascii="宋体" w:hAnsi="宋体"/>
              </w:rPr>
              <w:t>一级</w:t>
            </w:r>
          </w:p>
        </w:tc>
        <w:tc>
          <w:tcPr>
            <w:tcW w:w="1667" w:type="pct"/>
            <w:vAlign w:val="center"/>
          </w:tcPr>
          <w:p w14:paraId="55CAAF37">
            <w:pPr>
              <w:pStyle w:val="20"/>
              <w:widowControl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5BB0AB45">
            <w:pPr>
              <w:pStyle w:val="20"/>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1C7DE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3FC3119">
            <w:pPr>
              <w:pStyle w:val="20"/>
              <w:widowControl w:val="0"/>
              <w:adjustRightInd w:val="0"/>
              <w:snapToGrid w:val="0"/>
              <w:spacing w:line="360" w:lineRule="auto"/>
              <w:rPr>
                <w:rFonts w:ascii="宋体" w:hAnsi="宋体"/>
              </w:rPr>
            </w:pPr>
            <w:r>
              <w:rPr>
                <w:rFonts w:ascii="宋体" w:hAnsi="宋体"/>
              </w:rPr>
              <w:t>二级</w:t>
            </w:r>
          </w:p>
        </w:tc>
        <w:tc>
          <w:tcPr>
            <w:tcW w:w="1667" w:type="pct"/>
            <w:vAlign w:val="center"/>
          </w:tcPr>
          <w:p w14:paraId="5CF482EB">
            <w:pPr>
              <w:pStyle w:val="20"/>
              <w:widowControl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2B4F4E5C">
            <w:pPr>
              <w:pStyle w:val="20"/>
              <w:widowControl w:val="0"/>
              <w:adjustRightInd w:val="0"/>
              <w:snapToGrid w:val="0"/>
              <w:spacing w:line="360" w:lineRule="auto"/>
              <w:rPr>
                <w:rFonts w:ascii="宋体" w:hAnsi="宋体"/>
              </w:rPr>
            </w:pPr>
            <w:r>
              <w:rPr>
                <w:rFonts w:hint="eastAsia" w:ascii="宋体" w:hAnsi="宋体"/>
              </w:rPr>
              <w:t>≤</w:t>
            </w:r>
            <w:r>
              <w:rPr>
                <w:rFonts w:ascii="宋体" w:hAnsi="宋体"/>
              </w:rPr>
              <w:t>50</w:t>
            </w:r>
          </w:p>
        </w:tc>
      </w:tr>
      <w:tr w14:paraId="667B3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474D7AF">
            <w:pPr>
              <w:pStyle w:val="20"/>
              <w:widowControl w:val="0"/>
              <w:adjustRightInd w:val="0"/>
              <w:snapToGrid w:val="0"/>
              <w:spacing w:line="360" w:lineRule="auto"/>
              <w:rPr>
                <w:rFonts w:ascii="宋体" w:hAnsi="宋体"/>
              </w:rPr>
            </w:pPr>
            <w:r>
              <w:rPr>
                <w:rFonts w:ascii="宋体" w:hAnsi="宋体"/>
              </w:rPr>
              <w:t>三级</w:t>
            </w:r>
          </w:p>
        </w:tc>
        <w:tc>
          <w:tcPr>
            <w:tcW w:w="1667" w:type="pct"/>
            <w:vAlign w:val="center"/>
          </w:tcPr>
          <w:p w14:paraId="31830C2C">
            <w:pPr>
              <w:pStyle w:val="20"/>
              <w:widowControl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0B76C549">
            <w:pPr>
              <w:pStyle w:val="20"/>
              <w:widowControl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2022C702">
      <w:pPr>
        <w:pStyle w:val="21"/>
        <w:widowControl w:val="0"/>
        <w:adjustRightInd w:val="0"/>
        <w:snapToGrid w:val="0"/>
        <w:spacing w:line="360" w:lineRule="auto"/>
        <w:ind w:firstLine="436"/>
        <w:rPr>
          <w:rFonts w:ascii="黑体" w:hAnsi="黑体" w:cs="黑体"/>
        </w:rPr>
      </w:pPr>
      <w:r>
        <w:rPr>
          <w:rFonts w:hint="eastAsia" w:ascii="黑体" w:hAnsi="黑体" w:cs="黑体"/>
        </w:rPr>
        <w:t>注：V为油罐总容积。柴油罐容积可折半计入油罐总容积。</w:t>
      </w:r>
    </w:p>
    <w:p w14:paraId="7139619A">
      <w:pPr>
        <w:adjustRightInd w:val="0"/>
        <w:snapToGrid w:val="0"/>
        <w:spacing w:line="360" w:lineRule="auto"/>
        <w:ind w:firstLine="560" w:firstLineChars="200"/>
        <w:rPr>
          <w:rFonts w:ascii="宋体" w:hAnsi="宋体"/>
          <w:sz w:val="28"/>
        </w:rPr>
      </w:pPr>
      <w:r>
        <w:rPr>
          <w:rFonts w:hint="eastAsia" w:ascii="宋体" w:hAnsi="宋体"/>
          <w:sz w:val="28"/>
        </w:rPr>
        <w:t>该站现有职工3人（均正常缴纳了社保），其中主要负责人1人，安全生产管理人员1人。主要负责人和安全生产管理人员已参加了危险化学品安全管理培训，并取得考核合格证，详见附件。</w:t>
      </w:r>
    </w:p>
    <w:p w14:paraId="416254E5">
      <w:pPr>
        <w:adjustRightInd w:val="0"/>
        <w:snapToGrid w:val="0"/>
        <w:spacing w:line="360" w:lineRule="auto"/>
        <w:ind w:firstLine="560" w:firstLineChars="200"/>
        <w:rPr>
          <w:rFonts w:ascii="宋体" w:hAnsi="宋体"/>
          <w:sz w:val="28"/>
        </w:rPr>
      </w:pPr>
      <w:r>
        <w:rPr>
          <w:rFonts w:hint="eastAsia" w:ascii="宋体" w:hAnsi="宋体"/>
          <w:sz w:val="28"/>
        </w:rPr>
        <w:t>加油站（原中国石油天然气股份有限公司山东泰安销售分公司第41加油站）于2004年12月10日取得了新泰市公安消防大队出具的《建筑工程消防验收意见书》(编号：新公消验[2004]第041号）。详见附件。</w:t>
      </w:r>
    </w:p>
    <w:p w14:paraId="745FAA15">
      <w:pPr>
        <w:adjustRightInd w:val="0"/>
        <w:snapToGrid w:val="0"/>
        <w:spacing w:line="360" w:lineRule="auto"/>
        <w:ind w:firstLine="560" w:firstLineChars="200"/>
        <w:rPr>
          <w:rFonts w:ascii="宋体" w:hAnsi="宋体"/>
          <w:sz w:val="28"/>
        </w:rPr>
      </w:pPr>
      <w:r>
        <w:rPr>
          <w:rFonts w:hint="eastAsia" w:ascii="宋体" w:hAnsi="宋体"/>
          <w:sz w:val="28"/>
        </w:rPr>
        <w:t>2005年07月22日，该站变更了土地使用证，编号：新国用（2005）第0085号，终止日期为2045年07月17日，详见附件。</w:t>
      </w:r>
    </w:p>
    <w:p w14:paraId="150CE01E">
      <w:pPr>
        <w:adjustRightInd w:val="0"/>
        <w:snapToGrid w:val="0"/>
        <w:spacing w:line="360" w:lineRule="auto"/>
        <w:ind w:firstLine="560" w:firstLineChars="200"/>
        <w:rPr>
          <w:rFonts w:ascii="宋体" w:hAnsi="宋体"/>
          <w:sz w:val="28"/>
        </w:rPr>
      </w:pPr>
      <w:r>
        <w:rPr>
          <w:rFonts w:hint="eastAsia" w:ascii="宋体" w:hAnsi="宋体"/>
          <w:sz w:val="28"/>
        </w:rPr>
        <w:t>该站于2022年02月23日换发了《成品油零售经营批准证书》，证书编号：鲁油零售证书第3709022016号，证书有效期至2027年02月23日，证书见附件。</w:t>
      </w:r>
    </w:p>
    <w:p w14:paraId="29FE955F">
      <w:pPr>
        <w:adjustRightInd w:val="0"/>
        <w:snapToGrid w:val="0"/>
        <w:spacing w:line="360" w:lineRule="auto"/>
        <w:ind w:firstLine="560" w:firstLineChars="200"/>
        <w:rPr>
          <w:rFonts w:ascii="宋体" w:hAnsi="宋体"/>
          <w:sz w:val="28"/>
        </w:rPr>
      </w:pPr>
      <w:r>
        <w:rPr>
          <w:rFonts w:hint="eastAsia" w:ascii="宋体" w:hAnsi="宋体"/>
          <w:sz w:val="28"/>
        </w:rPr>
        <w:t>该站于2022年12月08日换发了《危险化学品经营许可证》，证书编号：鲁泰危化经[2023]000415号，证书有效期至2026年01月31日，证书见附件。</w:t>
      </w:r>
    </w:p>
    <w:p w14:paraId="26B53960">
      <w:pPr>
        <w:adjustRightInd w:val="0"/>
        <w:snapToGrid w:val="0"/>
        <w:spacing w:line="360" w:lineRule="auto"/>
        <w:ind w:firstLine="560" w:firstLineChars="200"/>
        <w:rPr>
          <w:rFonts w:ascii="宋体" w:hAnsi="宋体"/>
          <w:sz w:val="28"/>
        </w:rPr>
      </w:pPr>
      <w:r>
        <w:rPr>
          <w:rFonts w:hint="eastAsia" w:ascii="宋体" w:hAnsi="宋体"/>
          <w:sz w:val="28"/>
        </w:rPr>
        <w:t>该站在中国太平洋财产保险股份有限公司投保了安全生产责任保险，保险期限为2025年01月01日零时至2025年12月31日二十四时，详见附件。</w:t>
      </w:r>
    </w:p>
    <w:p w14:paraId="1166E5E1">
      <w:pPr>
        <w:adjustRightInd w:val="0"/>
        <w:snapToGrid w:val="0"/>
        <w:spacing w:line="360" w:lineRule="auto"/>
        <w:ind w:firstLine="560" w:firstLineChars="200"/>
        <w:rPr>
          <w:rFonts w:ascii="宋体" w:hAnsi="宋体"/>
          <w:sz w:val="28"/>
        </w:rPr>
      </w:pPr>
      <w:r>
        <w:rPr>
          <w:rFonts w:hint="eastAsia" w:ascii="宋体" w:hAnsi="宋体"/>
          <w:sz w:val="28"/>
        </w:rPr>
        <w:t>2025年01月，哈尔滨东方报警设备开发有限公司为该站的2台可燃气体探测器出具了检验报告，检验结论为合格。详见附件。</w:t>
      </w:r>
    </w:p>
    <w:p w14:paraId="338D9F96">
      <w:pPr>
        <w:adjustRightInd w:val="0"/>
        <w:snapToGrid w:val="0"/>
        <w:spacing w:line="360" w:lineRule="auto"/>
        <w:ind w:firstLine="560" w:firstLineChars="200"/>
        <w:rPr>
          <w:rFonts w:ascii="宋体" w:hAnsi="宋体"/>
          <w:sz w:val="28"/>
        </w:rPr>
      </w:pPr>
      <w:r>
        <w:rPr>
          <w:rFonts w:hint="eastAsia" w:ascii="宋体" w:hAnsi="宋体"/>
          <w:sz w:val="28"/>
        </w:rPr>
        <w:t>该站编制了生产安全事故应急预案，于2025年03月07日在泰安市应急管理局进行了备案，备案编号为：370900-2025-0028，详见附件。</w:t>
      </w:r>
    </w:p>
    <w:p w14:paraId="5B3015D5">
      <w:pPr>
        <w:adjustRightInd w:val="0"/>
        <w:snapToGrid w:val="0"/>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sz w:val="28"/>
        </w:rPr>
        <w:t>2025年09月09日，山东天科防雷工程有限公司对该站进行了相关防雷设施的检测，出具了合格的《雷电防护装置定期检测报告》，报告编号：（1122016001）[2025]D-TAXT0358，结论为“合格：雷电防护装置符合现行国家防雷规范标准要求”，报告有效期至2026年03月27日，检测报告见附件</w:t>
      </w:r>
      <w:r>
        <w:rPr>
          <w:rFonts w:hint="eastAsia" w:ascii="宋体" w:hAnsi="宋体"/>
          <w:color w:val="000000" w:themeColor="text1"/>
          <w:sz w:val="28"/>
          <w14:textFill>
            <w14:solidFill>
              <w14:schemeClr w14:val="tx1"/>
            </w14:solidFill>
          </w14:textFill>
        </w:rPr>
        <w:t>。</w:t>
      </w:r>
    </w:p>
    <w:p w14:paraId="5EC26C23">
      <w:pPr>
        <w:pStyle w:val="17"/>
        <w:widowControl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63BB59CC">
      <w:pPr>
        <w:pStyle w:val="17"/>
        <w:widowControl w:val="0"/>
        <w:adjustRightInd w:val="0"/>
        <w:snapToGrid w:val="0"/>
        <w:spacing w:line="360" w:lineRule="auto"/>
        <w:ind w:firstLine="560"/>
        <w:rPr>
          <w:rFonts w:ascii="宋体"/>
        </w:rPr>
      </w:pPr>
      <w:r>
        <w:rPr>
          <w:rFonts w:hint="eastAsia" w:ascii="宋体"/>
        </w:rPr>
        <w:t>该站有生产经营单位生产事故应急预案，并定期进行应急救援演练。该加油站消防器材配备齐全，加油站配备了35kg推车式干粉灭火器2具，8kg手提式干粉灭火器2具，5kg手提式干粉灭火器4具，4kg手提式干粉灭火器11具，CO</w:t>
      </w:r>
      <w:r>
        <w:rPr>
          <w:rFonts w:hint="eastAsia" w:ascii="宋体"/>
          <w:vertAlign w:val="subscript"/>
        </w:rPr>
        <w:t>2</w:t>
      </w:r>
      <w:r>
        <w:rPr>
          <w:rFonts w:hint="eastAsia" w:ascii="宋体"/>
        </w:rPr>
        <w:t>灭火器7具，灭火毯6块，消防锨4把，消防桶4个，消防沙池2m</w:t>
      </w:r>
      <w:r>
        <w:rPr>
          <w:rFonts w:hint="eastAsia" w:ascii="宋体"/>
          <w:vertAlign w:val="superscript"/>
        </w:rPr>
        <w:t>3</w:t>
      </w:r>
      <w:r>
        <w:rPr>
          <w:rFonts w:hint="eastAsia" w:ascii="宋体"/>
        </w:rPr>
        <w:t>。</w:t>
      </w:r>
    </w:p>
    <w:p w14:paraId="2374800E">
      <w:pPr>
        <w:pStyle w:val="17"/>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5080F0AD">
      <w:pPr>
        <w:pStyle w:val="18"/>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9" w:name="_Toc102634406"/>
      <w:bookmarkStart w:id="10" w:name="_Toc102633906"/>
      <w:bookmarkStart w:id="11" w:name="_Toc102634255"/>
      <w:bookmarkStart w:id="12" w:name="_Toc102633980"/>
      <w:r>
        <w:t>第四章 评价单元划分与评价方法选择</w:t>
      </w:r>
      <w:bookmarkEnd w:id="9"/>
      <w:bookmarkEnd w:id="10"/>
      <w:bookmarkEnd w:id="11"/>
      <w:bookmarkEnd w:id="12"/>
    </w:p>
    <w:p w14:paraId="1752F114">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3" w:name="_Toc102634256"/>
      <w:bookmarkStart w:id="14" w:name="_Toc102634407"/>
      <w:bookmarkStart w:id="15" w:name="_Toc7829"/>
      <w:bookmarkStart w:id="16" w:name="_Toc192907201"/>
      <w:bookmarkStart w:id="17" w:name="_Toc102633907"/>
      <w:bookmarkStart w:id="18" w:name="_Toc272364536"/>
      <w:bookmarkStart w:id="19" w:name="_Toc23543"/>
      <w:bookmarkStart w:id="20" w:name="_Toc198026273"/>
      <w:bookmarkStart w:id="21" w:name="_Toc15033754"/>
      <w:bookmarkStart w:id="22" w:name="_Toc238007574"/>
      <w:bookmarkStart w:id="23" w:name="_Toc102633981"/>
      <w:r>
        <w:rPr>
          <w:rFonts w:ascii="Calibri" w:hAnsi="Calibri" w:eastAsia="楷体_GB2312"/>
          <w:b/>
          <w:kern w:val="0"/>
          <w:sz w:val="32"/>
          <w:szCs w:val="20"/>
        </w:rPr>
        <w:t>第一节 评价单元的划分</w:t>
      </w:r>
      <w:bookmarkEnd w:id="13"/>
      <w:bookmarkEnd w:id="14"/>
      <w:bookmarkEnd w:id="15"/>
      <w:bookmarkEnd w:id="16"/>
      <w:bookmarkEnd w:id="17"/>
      <w:bookmarkEnd w:id="18"/>
      <w:bookmarkEnd w:id="19"/>
      <w:bookmarkEnd w:id="20"/>
      <w:bookmarkEnd w:id="21"/>
      <w:bookmarkEnd w:id="22"/>
      <w:bookmarkEnd w:id="23"/>
    </w:p>
    <w:p w14:paraId="418032C4">
      <w:pPr>
        <w:pStyle w:val="17"/>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6E28625E">
      <w:pPr>
        <w:pStyle w:val="22"/>
        <w:widowControl w:val="0"/>
        <w:adjustRightInd w:val="0"/>
        <w:snapToGrid w:val="0"/>
        <w:spacing w:line="360" w:lineRule="auto"/>
        <w:ind w:firstLine="560"/>
        <w:jc w:val="both"/>
      </w:pPr>
      <w:bookmarkStart w:id="24" w:name="_Toc102634257"/>
      <w:r>
        <w:rPr>
          <w:rFonts w:hint="eastAsia"/>
        </w:rPr>
        <w:t>一</w:t>
      </w:r>
      <w:r>
        <w:t>、以危险有害因素的类别为主划分评价单元</w:t>
      </w:r>
      <w:bookmarkEnd w:id="24"/>
    </w:p>
    <w:p w14:paraId="1E528FD6">
      <w:pPr>
        <w:pStyle w:val="17"/>
        <w:widowControl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064B691">
      <w:pPr>
        <w:pStyle w:val="17"/>
        <w:widowControl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12BCD0DD">
      <w:pPr>
        <w:pStyle w:val="22"/>
        <w:widowControl w:val="0"/>
        <w:adjustRightInd w:val="0"/>
        <w:snapToGrid w:val="0"/>
        <w:spacing w:line="360" w:lineRule="auto"/>
        <w:ind w:firstLine="560"/>
        <w:jc w:val="both"/>
      </w:pPr>
      <w:bookmarkStart w:id="25" w:name="_Toc102634258"/>
      <w:r>
        <w:rPr>
          <w:rFonts w:hint="eastAsia"/>
        </w:rPr>
        <w:t>二</w:t>
      </w:r>
      <w:r>
        <w:t>、以物质特征划分评价单元</w:t>
      </w:r>
      <w:bookmarkEnd w:id="25"/>
    </w:p>
    <w:p w14:paraId="70A56F3F">
      <w:pPr>
        <w:pStyle w:val="17"/>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15A9B03C">
      <w:pPr>
        <w:pStyle w:val="17"/>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29DABA73">
      <w:pPr>
        <w:pStyle w:val="17"/>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hint="eastAsia" w:ascii="宋体"/>
        </w:rPr>
        <w:t>四</w:t>
      </w:r>
      <w:r>
        <w:rPr>
          <w:rFonts w:ascii="宋体"/>
        </w:rPr>
        <w:t>个单元：</w:t>
      </w:r>
    </w:p>
    <w:p w14:paraId="472FA0A6">
      <w:pPr>
        <w:pStyle w:val="17"/>
        <w:widowControl w:val="0"/>
        <w:adjustRightInd w:val="0"/>
        <w:snapToGrid w:val="0"/>
        <w:spacing w:line="360" w:lineRule="auto"/>
        <w:ind w:firstLine="560"/>
        <w:rPr>
          <w:rFonts w:ascii="宋体"/>
        </w:rPr>
      </w:pPr>
      <w:r>
        <w:rPr>
          <w:rFonts w:ascii="宋体"/>
        </w:rPr>
        <w:t>1、安全管理；</w:t>
      </w:r>
    </w:p>
    <w:p w14:paraId="0932D61A">
      <w:pPr>
        <w:pStyle w:val="17"/>
        <w:widowControl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7E4C5618">
      <w:pPr>
        <w:pStyle w:val="17"/>
        <w:widowControl w:val="0"/>
        <w:adjustRightInd w:val="0"/>
        <w:snapToGrid w:val="0"/>
        <w:spacing w:line="360" w:lineRule="auto"/>
        <w:ind w:firstLine="560"/>
        <w:rPr>
          <w:rFonts w:ascii="宋体"/>
        </w:rPr>
      </w:pPr>
      <w:r>
        <w:rPr>
          <w:rFonts w:ascii="宋体"/>
        </w:rPr>
        <w:t>3、加油工艺及设施；</w:t>
      </w:r>
    </w:p>
    <w:p w14:paraId="518FCED4">
      <w:pPr>
        <w:pStyle w:val="17"/>
        <w:widowControl w:val="0"/>
        <w:adjustRightInd w:val="0"/>
        <w:snapToGrid w:val="0"/>
        <w:spacing w:line="360" w:lineRule="auto"/>
        <w:ind w:firstLine="560"/>
        <w:rPr>
          <w:rFonts w:ascii="宋体"/>
        </w:rPr>
      </w:pPr>
      <w:r>
        <w:rPr>
          <w:rFonts w:ascii="宋体"/>
        </w:rPr>
        <w:t>4、其它安全设施</w:t>
      </w:r>
    </w:p>
    <w:p w14:paraId="14FE7B74">
      <w:pPr>
        <w:pStyle w:val="3"/>
        <w:spacing w:before="312" w:beforeLines="100" w:after="312" w:afterLines="100" w:line="360" w:lineRule="auto"/>
        <w:ind w:firstLine="0"/>
      </w:pPr>
      <w:bookmarkStart w:id="26" w:name="_Toc102633982"/>
      <w:bookmarkStart w:id="27" w:name="_Toc102633908"/>
      <w:bookmarkStart w:id="28" w:name="_Toc22810"/>
      <w:bookmarkStart w:id="29" w:name="_Toc102634259"/>
      <w:bookmarkStart w:id="30" w:name="_Toc102634408"/>
      <w:r>
        <w:rPr>
          <w:rFonts w:hint="eastAsia"/>
        </w:rPr>
        <w:t>第二节 评价方法的选择</w:t>
      </w:r>
      <w:bookmarkEnd w:id="26"/>
      <w:bookmarkEnd w:id="27"/>
      <w:bookmarkEnd w:id="28"/>
      <w:bookmarkEnd w:id="29"/>
      <w:bookmarkEnd w:id="30"/>
    </w:p>
    <w:p w14:paraId="01D2BBDB">
      <w:pPr>
        <w:pStyle w:val="17"/>
        <w:widowControl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0C7D6234">
      <w:pPr>
        <w:pStyle w:val="17"/>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412D2DB9">
      <w:pPr>
        <w:pStyle w:val="17"/>
        <w:widowControl w:val="0"/>
        <w:adjustRightInd w:val="0"/>
        <w:snapToGrid w:val="0"/>
        <w:spacing w:line="360" w:lineRule="auto"/>
        <w:ind w:firstLine="560"/>
        <w:rPr>
          <w:rFonts w:ascii="宋体"/>
        </w:rPr>
      </w:pPr>
      <w:r>
        <w:rPr>
          <w:rFonts w:ascii="宋体"/>
        </w:rPr>
        <w:t>根据本次安全评价的特点，结合</w:t>
      </w:r>
      <w:r>
        <w:rPr>
          <w:rFonts w:hint="eastAsia" w:ascii="宋体"/>
        </w:rPr>
        <w:t>中国石油天然气股份有限公司山东泰安销售分公司新泰新汶蒙馆路加油站</w:t>
      </w:r>
      <w:r>
        <w:rPr>
          <w:rFonts w:ascii="宋体"/>
        </w:rPr>
        <w:t>的具体情况，选用安全检查表、事故树法及危险度评价法对加油站进行评价。具体应用如下表所示：</w:t>
      </w:r>
    </w:p>
    <w:p w14:paraId="7D3FF1F4">
      <w:pPr>
        <w:pStyle w:val="19"/>
        <w:widowControl w:val="0"/>
        <w:adjustRightInd w:val="0"/>
        <w:snapToGrid w:val="0"/>
        <w:outlineLvl w:val="9"/>
        <w:rPr>
          <w:rFonts w:ascii="黑体" w:hAnsi="黑体"/>
        </w:rPr>
      </w:pPr>
      <w:r>
        <w:rPr>
          <w:rFonts w:ascii="黑体" w:hAnsi="黑体"/>
        </w:rPr>
        <w:t>表4.2-1 评价方法选择一览表</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68D4F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193213CE">
            <w:pPr>
              <w:pStyle w:val="2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312E8A8C">
            <w:pPr>
              <w:pStyle w:val="2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6185E5FD">
            <w:pPr>
              <w:pStyle w:val="20"/>
              <w:widowControl w:val="0"/>
              <w:adjustRightInd w:val="0"/>
              <w:snapToGrid w:val="0"/>
              <w:spacing w:line="360" w:lineRule="auto"/>
              <w:rPr>
                <w:rFonts w:ascii="宋体"/>
                <w:b/>
              </w:rPr>
            </w:pPr>
            <w:r>
              <w:rPr>
                <w:rFonts w:ascii="宋体"/>
                <w:b/>
                <w:lang w:val="en-GB"/>
              </w:rPr>
              <w:t>评价方法</w:t>
            </w:r>
          </w:p>
        </w:tc>
      </w:tr>
      <w:tr w14:paraId="52E70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E5C28CC">
            <w:pPr>
              <w:pStyle w:val="20"/>
              <w:widowControl w:val="0"/>
              <w:adjustRightInd w:val="0"/>
              <w:snapToGrid w:val="0"/>
              <w:spacing w:line="360" w:lineRule="auto"/>
              <w:rPr>
                <w:rFonts w:ascii="宋体"/>
                <w:b/>
                <w:lang w:val="en-GB"/>
              </w:rPr>
            </w:pPr>
          </w:p>
        </w:tc>
        <w:tc>
          <w:tcPr>
            <w:tcW w:w="1285" w:type="pct"/>
            <w:vMerge w:val="continue"/>
            <w:vAlign w:val="center"/>
          </w:tcPr>
          <w:p w14:paraId="409607E1">
            <w:pPr>
              <w:pStyle w:val="20"/>
              <w:widowControl w:val="0"/>
              <w:adjustRightInd w:val="0"/>
              <w:snapToGrid w:val="0"/>
              <w:spacing w:line="360" w:lineRule="auto"/>
              <w:rPr>
                <w:rFonts w:ascii="宋体"/>
                <w:b/>
              </w:rPr>
            </w:pPr>
          </w:p>
        </w:tc>
        <w:tc>
          <w:tcPr>
            <w:tcW w:w="1196" w:type="pct"/>
            <w:vAlign w:val="center"/>
          </w:tcPr>
          <w:p w14:paraId="56B9208C">
            <w:pPr>
              <w:pStyle w:val="2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17228496">
            <w:pPr>
              <w:pStyle w:val="2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2452D49">
            <w:pPr>
              <w:pStyle w:val="20"/>
              <w:widowControl w:val="0"/>
              <w:adjustRightInd w:val="0"/>
              <w:snapToGrid w:val="0"/>
              <w:spacing w:line="360" w:lineRule="auto"/>
              <w:rPr>
                <w:rFonts w:ascii="宋体"/>
                <w:b/>
                <w:lang w:val="en-GB"/>
              </w:rPr>
            </w:pPr>
            <w:r>
              <w:rPr>
                <w:rFonts w:ascii="宋体"/>
                <w:b/>
                <w:lang w:val="en-GB"/>
              </w:rPr>
              <w:t>事故树法</w:t>
            </w:r>
          </w:p>
        </w:tc>
      </w:tr>
      <w:tr w14:paraId="79567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3C0C616">
            <w:pPr>
              <w:pStyle w:val="20"/>
              <w:widowControl w:val="0"/>
              <w:adjustRightInd w:val="0"/>
              <w:snapToGrid w:val="0"/>
              <w:spacing w:line="360" w:lineRule="auto"/>
              <w:rPr>
                <w:rFonts w:ascii="宋体"/>
                <w:lang w:val="en-GB"/>
              </w:rPr>
            </w:pPr>
            <w:r>
              <w:rPr>
                <w:rFonts w:ascii="宋体"/>
                <w:lang w:val="en-GB"/>
              </w:rPr>
              <w:t>1</w:t>
            </w:r>
          </w:p>
        </w:tc>
        <w:tc>
          <w:tcPr>
            <w:tcW w:w="1285" w:type="pct"/>
            <w:vAlign w:val="center"/>
          </w:tcPr>
          <w:p w14:paraId="157BF411">
            <w:pPr>
              <w:pStyle w:val="2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4F4EDAE2">
            <w:pPr>
              <w:pStyle w:val="20"/>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1F2FFE79">
            <w:pPr>
              <w:pStyle w:val="20"/>
              <w:widowControl w:val="0"/>
              <w:adjustRightInd w:val="0"/>
              <w:snapToGrid w:val="0"/>
              <w:spacing w:line="360" w:lineRule="auto"/>
              <w:rPr>
                <w:rFonts w:ascii="宋体"/>
              </w:rPr>
            </w:pPr>
          </w:p>
        </w:tc>
        <w:tc>
          <w:tcPr>
            <w:tcW w:w="972" w:type="pct"/>
            <w:vAlign w:val="center"/>
          </w:tcPr>
          <w:p w14:paraId="0F4230CA">
            <w:pPr>
              <w:pStyle w:val="20"/>
              <w:widowControl w:val="0"/>
              <w:adjustRightInd w:val="0"/>
              <w:snapToGrid w:val="0"/>
              <w:spacing w:line="360" w:lineRule="auto"/>
              <w:rPr>
                <w:rFonts w:ascii="宋体"/>
              </w:rPr>
            </w:pPr>
          </w:p>
        </w:tc>
      </w:tr>
      <w:tr w14:paraId="1D08E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631ECDE">
            <w:pPr>
              <w:pStyle w:val="20"/>
              <w:widowControl w:val="0"/>
              <w:adjustRightInd w:val="0"/>
              <w:snapToGrid w:val="0"/>
              <w:spacing w:line="360" w:lineRule="auto"/>
              <w:rPr>
                <w:rFonts w:ascii="宋体"/>
                <w:lang w:val="en-GB"/>
              </w:rPr>
            </w:pPr>
            <w:r>
              <w:rPr>
                <w:rFonts w:ascii="宋体"/>
                <w:lang w:val="en-GB"/>
              </w:rPr>
              <w:t>2</w:t>
            </w:r>
          </w:p>
        </w:tc>
        <w:tc>
          <w:tcPr>
            <w:tcW w:w="1285" w:type="pct"/>
            <w:vAlign w:val="center"/>
          </w:tcPr>
          <w:p w14:paraId="4458C6B5">
            <w:pPr>
              <w:pStyle w:val="2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1CCBE13A">
            <w:pPr>
              <w:pStyle w:val="20"/>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548C2EE2">
            <w:pPr>
              <w:pStyle w:val="20"/>
              <w:widowControl w:val="0"/>
              <w:adjustRightInd w:val="0"/>
              <w:snapToGrid w:val="0"/>
              <w:spacing w:line="360" w:lineRule="auto"/>
              <w:rPr>
                <w:rFonts w:ascii="宋体"/>
              </w:rPr>
            </w:pPr>
          </w:p>
        </w:tc>
        <w:tc>
          <w:tcPr>
            <w:tcW w:w="972" w:type="pct"/>
            <w:vAlign w:val="center"/>
          </w:tcPr>
          <w:p w14:paraId="20EF7283">
            <w:pPr>
              <w:pStyle w:val="20"/>
              <w:widowControl w:val="0"/>
              <w:adjustRightInd w:val="0"/>
              <w:snapToGrid w:val="0"/>
              <w:spacing w:line="360" w:lineRule="auto"/>
              <w:rPr>
                <w:rFonts w:ascii="宋体"/>
              </w:rPr>
            </w:pPr>
          </w:p>
        </w:tc>
      </w:tr>
      <w:tr w14:paraId="680A1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893076C">
            <w:pPr>
              <w:pStyle w:val="20"/>
              <w:widowControl w:val="0"/>
              <w:adjustRightInd w:val="0"/>
              <w:snapToGrid w:val="0"/>
              <w:spacing w:line="360" w:lineRule="auto"/>
              <w:rPr>
                <w:rFonts w:ascii="宋体"/>
                <w:lang w:val="en-GB"/>
              </w:rPr>
            </w:pPr>
            <w:r>
              <w:rPr>
                <w:rFonts w:ascii="宋体"/>
                <w:lang w:val="en-GB"/>
              </w:rPr>
              <w:t>3</w:t>
            </w:r>
          </w:p>
        </w:tc>
        <w:tc>
          <w:tcPr>
            <w:tcW w:w="1285" w:type="pct"/>
            <w:vAlign w:val="center"/>
          </w:tcPr>
          <w:p w14:paraId="3B90C5AD">
            <w:pPr>
              <w:pStyle w:val="2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3BFC5909">
            <w:pPr>
              <w:pStyle w:val="20"/>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5AF08A48">
            <w:pPr>
              <w:pStyle w:val="20"/>
              <w:widowControl w:val="0"/>
              <w:adjustRightInd w:val="0"/>
              <w:snapToGrid w:val="0"/>
              <w:spacing w:line="360" w:lineRule="auto"/>
              <w:rPr>
                <w:rFonts w:ascii="宋体"/>
              </w:rPr>
            </w:pPr>
            <w:r>
              <w:rPr>
                <w:rFonts w:hint="eastAsia" w:ascii="宋体" w:hAnsi="宋体" w:cs="宋体"/>
              </w:rPr>
              <w:t>★</w:t>
            </w:r>
          </w:p>
        </w:tc>
        <w:tc>
          <w:tcPr>
            <w:tcW w:w="972" w:type="pct"/>
            <w:vAlign w:val="center"/>
          </w:tcPr>
          <w:p w14:paraId="58F5C818">
            <w:pPr>
              <w:pStyle w:val="20"/>
              <w:widowControl w:val="0"/>
              <w:adjustRightInd w:val="0"/>
              <w:snapToGrid w:val="0"/>
              <w:spacing w:line="360" w:lineRule="auto"/>
              <w:rPr>
                <w:rFonts w:ascii="宋体"/>
              </w:rPr>
            </w:pPr>
            <w:r>
              <w:rPr>
                <w:rFonts w:hint="eastAsia" w:ascii="宋体" w:hAnsi="宋体" w:cs="宋体"/>
              </w:rPr>
              <w:t>★</w:t>
            </w:r>
          </w:p>
        </w:tc>
      </w:tr>
      <w:tr w14:paraId="0A6A0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5EEDA06">
            <w:pPr>
              <w:pStyle w:val="20"/>
              <w:widowControl w:val="0"/>
              <w:adjustRightInd w:val="0"/>
              <w:snapToGrid w:val="0"/>
              <w:spacing w:line="360" w:lineRule="auto"/>
              <w:rPr>
                <w:rFonts w:ascii="宋体"/>
                <w:lang w:val="en-GB"/>
              </w:rPr>
            </w:pPr>
            <w:r>
              <w:rPr>
                <w:rFonts w:ascii="宋体"/>
                <w:lang w:val="en-GB"/>
              </w:rPr>
              <w:t>4</w:t>
            </w:r>
          </w:p>
        </w:tc>
        <w:tc>
          <w:tcPr>
            <w:tcW w:w="1285" w:type="pct"/>
            <w:vAlign w:val="center"/>
          </w:tcPr>
          <w:p w14:paraId="172F1743">
            <w:pPr>
              <w:pStyle w:val="2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049C1B38">
            <w:pPr>
              <w:pStyle w:val="20"/>
              <w:widowControl w:val="0"/>
              <w:adjustRightInd w:val="0"/>
              <w:snapToGrid w:val="0"/>
              <w:spacing w:line="360" w:lineRule="auto"/>
              <w:rPr>
                <w:rFonts w:ascii="宋体"/>
              </w:rPr>
            </w:pPr>
            <w:r>
              <w:rPr>
                <w:rFonts w:hint="eastAsia" w:ascii="宋体" w:hAnsi="宋体" w:cs="宋体"/>
              </w:rPr>
              <w:t>★</w:t>
            </w:r>
          </w:p>
        </w:tc>
        <w:tc>
          <w:tcPr>
            <w:tcW w:w="1170" w:type="pct"/>
            <w:vAlign w:val="center"/>
          </w:tcPr>
          <w:p w14:paraId="73CCD775">
            <w:pPr>
              <w:pStyle w:val="20"/>
              <w:widowControl w:val="0"/>
              <w:adjustRightInd w:val="0"/>
              <w:snapToGrid w:val="0"/>
              <w:spacing w:line="360" w:lineRule="auto"/>
              <w:rPr>
                <w:rFonts w:ascii="宋体"/>
              </w:rPr>
            </w:pPr>
          </w:p>
        </w:tc>
        <w:tc>
          <w:tcPr>
            <w:tcW w:w="972" w:type="pct"/>
            <w:vAlign w:val="center"/>
          </w:tcPr>
          <w:p w14:paraId="1472927A">
            <w:pPr>
              <w:pStyle w:val="20"/>
              <w:widowControl w:val="0"/>
              <w:adjustRightInd w:val="0"/>
              <w:snapToGrid w:val="0"/>
              <w:spacing w:line="360" w:lineRule="auto"/>
              <w:rPr>
                <w:rFonts w:ascii="宋体"/>
              </w:rPr>
            </w:pPr>
          </w:p>
        </w:tc>
      </w:tr>
    </w:tbl>
    <w:p w14:paraId="446F3E17">
      <w:pPr>
        <w:pStyle w:val="17"/>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31" w:name="_Toc9894"/>
      <w:bookmarkStart w:id="32" w:name="_Toc102634276"/>
      <w:bookmarkStart w:id="33" w:name="_Toc102633988"/>
      <w:bookmarkStart w:id="34" w:name="_Toc15033761"/>
      <w:bookmarkStart w:id="35" w:name="_Toc102634414"/>
      <w:bookmarkStart w:id="36" w:name="_Toc102633914"/>
      <w:r>
        <w:rPr>
          <w:rFonts w:eastAsia="黑体"/>
          <w:kern w:val="2"/>
          <w:sz w:val="32"/>
          <w:szCs w:val="21"/>
        </w:rPr>
        <w:br w:type="page"/>
      </w:r>
    </w:p>
    <w:bookmarkEnd w:id="31"/>
    <w:bookmarkEnd w:id="32"/>
    <w:bookmarkEnd w:id="33"/>
    <w:bookmarkEnd w:id="34"/>
    <w:bookmarkEnd w:id="35"/>
    <w:bookmarkEnd w:id="36"/>
    <w:p w14:paraId="55B8E763">
      <w:pPr>
        <w:pStyle w:val="18"/>
        <w:keepLines w:val="0"/>
        <w:widowControl w:val="0"/>
        <w:overflowPunct/>
        <w:bidi w:val="0"/>
        <w:adjustRightInd w:val="0"/>
        <w:snapToGrid w:val="0"/>
        <w:spacing w:before="468" w:beforeLines="150" w:after="156" w:afterLines="50" w:line="360" w:lineRule="auto"/>
      </w:pPr>
      <w:r>
        <w:t>第六章  安全对策措施及建议</w:t>
      </w:r>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37" w:name="_Toc225046264"/>
      <w:bookmarkStart w:id="38" w:name="_Toc339456079"/>
      <w:bookmarkStart w:id="39" w:name="_Toc102633915"/>
      <w:bookmarkStart w:id="40" w:name="_Toc102634415"/>
      <w:bookmarkStart w:id="41" w:name="_Toc102634277"/>
      <w:bookmarkStart w:id="42" w:name="_Toc15033762"/>
      <w:bookmarkStart w:id="43" w:name="_Toc242065302"/>
      <w:bookmarkStart w:id="44" w:name="_Toc4961"/>
      <w:bookmarkStart w:id="45" w:name="_Toc102633989"/>
      <w:bookmarkStart w:id="46" w:name="_Toc348877039"/>
      <w:r>
        <w:rPr>
          <w:rFonts w:ascii="Calibri" w:hAnsi="Calibri" w:eastAsia="楷体_GB2312"/>
          <w:b/>
          <w:kern w:val="0"/>
          <w:sz w:val="32"/>
          <w:szCs w:val="20"/>
        </w:rPr>
        <w:t xml:space="preserve">第一节 </w:t>
      </w:r>
      <w:bookmarkEnd w:id="37"/>
      <w:bookmarkEnd w:id="38"/>
      <w:r>
        <w:rPr>
          <w:rFonts w:ascii="Calibri" w:hAnsi="Calibri" w:eastAsia="楷体_GB2312"/>
          <w:b/>
          <w:kern w:val="0"/>
          <w:sz w:val="32"/>
          <w:szCs w:val="20"/>
        </w:rPr>
        <w:t>存在的问题及整改建议</w:t>
      </w:r>
      <w:bookmarkEnd w:id="39"/>
      <w:bookmarkEnd w:id="40"/>
      <w:bookmarkEnd w:id="41"/>
      <w:bookmarkEnd w:id="42"/>
      <w:bookmarkEnd w:id="43"/>
      <w:bookmarkEnd w:id="44"/>
      <w:bookmarkEnd w:id="45"/>
      <w:bookmarkEnd w:id="46"/>
    </w:p>
    <w:p w14:paraId="13379AD0">
      <w:pPr>
        <w:pStyle w:val="17"/>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kern w:val="0"/>
          <w:sz w:val="28"/>
          <w:szCs w:val="20"/>
        </w:rPr>
        <w:t>通过现场检查和审查有关资料可以看出，该加油站在安全管理、站址选择及总平面布置、加油工艺及设施、其它设施等方面符合有关法律、标准规范的要求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6"/>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48655" cy="8622665"/>
            <wp:effectExtent l="0" t="0" r="4445" b="6985"/>
            <wp:docPr id="8" name="图片 8" descr="扫描全能王 2025-11-21 11.2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11-21 11.28_4"/>
                    <pic:cNvPicPr>
                      <a:picLocks noChangeAspect="1"/>
                    </pic:cNvPicPr>
                  </pic:nvPicPr>
                  <pic:blipFill>
                    <a:blip r:embed="rId9"/>
                    <a:stretch>
                      <a:fillRect/>
                    </a:stretch>
                  </pic:blipFill>
                  <pic:spPr>
                    <a:xfrm>
                      <a:off x="0" y="0"/>
                      <a:ext cx="5748655" cy="8622665"/>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49290" cy="8804910"/>
            <wp:effectExtent l="0" t="0" r="3810" b="15240"/>
            <wp:docPr id="7" name="图片 7" descr="扫描全能王 2025-11-21 11.2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11-21 11.28_5"/>
                    <pic:cNvPicPr>
                      <a:picLocks noChangeAspect="1"/>
                    </pic:cNvPicPr>
                  </pic:nvPicPr>
                  <pic:blipFill>
                    <a:blip r:embed="rId10"/>
                    <a:stretch>
                      <a:fillRect/>
                    </a:stretch>
                  </pic:blipFill>
                  <pic:spPr>
                    <a:xfrm>
                      <a:off x="0" y="0"/>
                      <a:ext cx="5749290" cy="8804910"/>
                    </a:xfrm>
                    <a:prstGeom prst="rect">
                      <a:avLst/>
                    </a:prstGeom>
                  </pic:spPr>
                </pic:pic>
              </a:graphicData>
            </a:graphic>
          </wp:inline>
        </w:drawing>
      </w:r>
      <w:bookmarkStart w:id="47" w:name="_GoBack"/>
      <w:r>
        <w:rPr>
          <w:rFonts w:hint="eastAsia" w:eastAsiaTheme="minorEastAsia"/>
          <w:color w:val="auto"/>
          <w:sz w:val="28"/>
          <w:szCs w:val="20"/>
          <w:lang w:eastAsia="zh-CN"/>
        </w:rPr>
        <w:drawing>
          <wp:inline distT="0" distB="0" distL="114300" distR="114300">
            <wp:extent cx="5753735" cy="8599170"/>
            <wp:effectExtent l="0" t="0" r="18415" b="11430"/>
            <wp:docPr id="6" name="图片 6" descr="扫描全能王 2025-11-21 11.2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11-21 11.28_6"/>
                    <pic:cNvPicPr>
                      <a:picLocks noChangeAspect="1"/>
                    </pic:cNvPicPr>
                  </pic:nvPicPr>
                  <pic:blipFill>
                    <a:blip r:embed="rId11"/>
                    <a:stretch>
                      <a:fillRect/>
                    </a:stretch>
                  </pic:blipFill>
                  <pic:spPr>
                    <a:xfrm>
                      <a:off x="0" y="0"/>
                      <a:ext cx="5753735" cy="8599170"/>
                    </a:xfrm>
                    <a:prstGeom prst="rect">
                      <a:avLst/>
                    </a:prstGeom>
                  </pic:spPr>
                </pic:pic>
              </a:graphicData>
            </a:graphic>
          </wp:inline>
        </w:drawing>
      </w:r>
      <w:bookmarkEnd w:id="47"/>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15D76A2"/>
    <w:rsid w:val="31A6380A"/>
    <w:rsid w:val="32DB1C5F"/>
    <w:rsid w:val="335F1F61"/>
    <w:rsid w:val="354E2190"/>
    <w:rsid w:val="355F439E"/>
    <w:rsid w:val="35CC29B8"/>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4">
    <w:name w:val="Normal Indent"/>
    <w:basedOn w:val="1"/>
    <w:qFormat/>
    <w:uiPriority w:val="99"/>
    <w:pPr>
      <w:ind w:firstLine="420"/>
    </w:pPr>
  </w:style>
  <w:style w:type="paragraph" w:styleId="5">
    <w:name w:val="annotation text"/>
    <w:basedOn w:val="1"/>
    <w:qFormat/>
    <w:uiPriority w:val="0"/>
    <w:pPr>
      <w:jc w:val="left"/>
    </w:pPr>
  </w:style>
  <w:style w:type="paragraph" w:styleId="6">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7">
    <w:name w:val="Body Text Indent"/>
    <w:basedOn w:val="1"/>
    <w:qFormat/>
    <w:uiPriority w:val="0"/>
    <w:pPr>
      <w:spacing w:after="120"/>
      <w:ind w:left="420" w:leftChars="200"/>
    </w:pPr>
  </w:style>
  <w:style w:type="paragraph" w:styleId="8">
    <w:name w:val="Plain Text"/>
    <w:basedOn w:val="1"/>
    <w:unhideWhenUsed/>
    <w:qFormat/>
    <w:uiPriority w:val="99"/>
    <w:rPr>
      <w:rFonts w:ascii="宋体" w:hAnsi="Courier New"/>
      <w:kern w:val="0"/>
      <w:sz w:val="20"/>
      <w:szCs w:val="20"/>
    </w:rPr>
  </w:style>
  <w:style w:type="paragraph" w:styleId="9">
    <w:name w:val="Body Text First Indent"/>
    <w:basedOn w:val="6"/>
    <w:next w:val="1"/>
    <w:qFormat/>
    <w:uiPriority w:val="0"/>
    <w:pPr>
      <w:ind w:firstLine="420" w:firstLineChars="100"/>
    </w:pPr>
    <w:rPr>
      <w:b/>
      <w:u w:val="single"/>
    </w:rPr>
  </w:style>
  <w:style w:type="paragraph" w:styleId="10">
    <w:name w:val="Body Text First Indent 2"/>
    <w:basedOn w:val="7"/>
    <w:next w:val="1"/>
    <w:qFormat/>
    <w:uiPriority w:val="0"/>
    <w:pPr>
      <w:tabs>
        <w:tab w:val="left" w:pos="6120"/>
      </w:tabs>
      <w:spacing w:line="520" w:lineRule="exact"/>
      <w:ind w:left="0" w:leftChars="0"/>
    </w:pPr>
    <w:rPr>
      <w:rFonts w:ascii="黑体" w:hAnsi="黑体" w:eastAsia="黑体" w:cs="宋体"/>
      <w:sz w:val="28"/>
    </w:rPr>
  </w:style>
  <w:style w:type="paragraph" w:customStyle="1" w:styleId="13">
    <w:name w:val="111"/>
    <w:basedOn w:val="14"/>
    <w:qFormat/>
    <w:uiPriority w:val="0"/>
    <w:pPr>
      <w:widowControl/>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eastAsia="en-US"/>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8"/>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3182</Words>
  <Characters>3503</Characters>
  <Lines>25</Lines>
  <Paragraphs>7</Paragraphs>
  <TotalTime>0</TotalTime>
  <ScaleCrop>false</ScaleCrop>
  <LinksUpToDate>false</LinksUpToDate>
  <CharactersWithSpaces>3536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2025-11-21T03:31:59Z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