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AFEB0">
      <w:pPr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安全评价项目信息表</w:t>
      </w:r>
    </w:p>
    <w:p w14:paraId="1BF9BB85">
      <w:pPr>
        <w:rPr>
          <w:szCs w:val="21"/>
        </w:rPr>
      </w:pPr>
      <w:r>
        <w:rPr>
          <w:rFonts w:hint="eastAsia"/>
          <w:szCs w:val="21"/>
        </w:rPr>
        <w:t>项目编号：</w:t>
      </w:r>
    </w:p>
    <w:tbl>
      <w:tblPr>
        <w:tblStyle w:val="11"/>
        <w:tblW w:w="5000" w:type="pct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68" w:type="dxa"/>
          <w:left w:w="108" w:type="dxa"/>
          <w:bottom w:w="68" w:type="dxa"/>
          <w:right w:w="108" w:type="dxa"/>
        </w:tblCellMar>
      </w:tblPr>
      <w:tblGrid>
        <w:gridCol w:w="1832"/>
        <w:gridCol w:w="2188"/>
        <w:gridCol w:w="2350"/>
        <w:gridCol w:w="2918"/>
      </w:tblGrid>
      <w:tr w14:paraId="1312B37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3D159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项目名称</w:t>
            </w:r>
          </w:p>
        </w:tc>
        <w:tc>
          <w:tcPr>
            <w:tcW w:w="745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02976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泰安市东原资产经营有限公司第三加油加气站（加油部分）</w:t>
            </w:r>
          </w:p>
          <w:p w14:paraId="1DC8EACA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安全设施竣工验收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评价</w:t>
            </w:r>
          </w:p>
        </w:tc>
      </w:tr>
      <w:tr w14:paraId="46A32E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451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BEC4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项目简介</w:t>
            </w:r>
          </w:p>
        </w:tc>
        <w:tc>
          <w:tcPr>
            <w:tcW w:w="7456" w:type="dxa"/>
            <w:gridSpan w:val="3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4A7729">
            <w:pPr>
              <w:adjustRightInd w:val="0"/>
              <w:snapToGrid w:val="0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sz w:val="20"/>
                <w:lang w:eastAsia="zh-CN"/>
              </w:rPr>
              <w:t>该站建设内容包含加油部分和加气部分。加油部分建设内容有5台30m³卧式双层埋地油罐（92#汽油、95#汽油、98#汽油各1台，柴油2台），6台双枪加油机（潜油泵式）；加气部分建设内容有1台60m³LNG立式储罐、2台LNG加气机、1套LNG潜液泵；依据《汽车加油加气加氢站技术标准》（GB50156-2021）标准第3.0.16条规定：按公式计算LNG储罐与油品储罐总容积：120/240+60/180≈0.83&lt;1，该站属一级加油加气站。本次只对加油相关设施（储罐区、加油区、站房）进行评价，加气相关设施不在本次评价范围内。</w:t>
            </w:r>
          </w:p>
        </w:tc>
      </w:tr>
      <w:tr w14:paraId="59A376E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AE24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评价人员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0D178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姓  名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39E6E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备注</w:t>
            </w:r>
          </w:p>
        </w:tc>
      </w:tr>
      <w:tr w14:paraId="33CB167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00BD9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43A4BF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DAED6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77471AD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C515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项目组成员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CADCD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刘卫国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5FF70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79957D5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AB14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C2D21B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辛  磊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B2C48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50E71B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2512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A1C13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赵云峰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76A3C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586559F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4119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BC9D2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王  静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A45AF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314564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ECA9F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报告编制人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A9FEF0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CCC52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691B81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FF3D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报告审核人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5EAF58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赵  燕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80253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62F15F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E57E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过程控制负责人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F3BFC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刘云红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2DE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76894BA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9845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技术负责人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A8142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孙  虎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4AC15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 w14:paraId="37CD31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97E9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到现场开展安全</w:t>
            </w:r>
          </w:p>
          <w:p w14:paraId="4B86562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评价工作情况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1EBB4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时  间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3F968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到现场主要人员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AB688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主要任务</w:t>
            </w:r>
          </w:p>
        </w:tc>
      </w:tr>
      <w:tr w14:paraId="728500B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51762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EA56A8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2025.06.02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2F1E68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辛  磊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D1097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初访</w:t>
            </w:r>
          </w:p>
        </w:tc>
      </w:tr>
      <w:tr w14:paraId="02AE787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3224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74FB21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2025.08.29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8A8D8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辛  磊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016F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现场考察</w:t>
            </w:r>
          </w:p>
        </w:tc>
      </w:tr>
      <w:tr w14:paraId="45AB8A6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6F0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71B402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2025.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09.02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D6764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辛  磊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D7195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现场检查</w:t>
            </w:r>
          </w:p>
        </w:tc>
      </w:tr>
      <w:tr w14:paraId="1369BA9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83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61097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0F6726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2025.09.05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214941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辛  磊 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3632CA"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现场核查</w:t>
            </w:r>
          </w:p>
        </w:tc>
      </w:tr>
      <w:tr w14:paraId="3EA097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28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D6B06D">
            <w:pPr>
              <w:autoSpaceDE w:val="0"/>
              <w:autoSpaceDN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安全评价报告提交时间：2025.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09.12</w:t>
            </w:r>
          </w:p>
        </w:tc>
      </w:tr>
      <w:tr w14:paraId="42CB64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68" w:type="dxa"/>
            <w:left w:w="108" w:type="dxa"/>
            <w:bottom w:w="68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28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A9AD64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有必要公开的其它内容：</w:t>
            </w:r>
          </w:p>
        </w:tc>
      </w:tr>
    </w:tbl>
    <w:p w14:paraId="4BE1805E">
      <w:pPr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br w:type="page"/>
      </w:r>
    </w:p>
    <w:p w14:paraId="6D3AF263">
      <w:pPr>
        <w:pStyle w:val="6"/>
        <w:spacing w:line="240" w:lineRule="auto"/>
        <w:ind w:firstLine="480"/>
        <w:rPr>
          <w:rFonts w:hint="eastAsia" w:eastAsia="宋体" w:cs="宋体"/>
          <w:color w:val="auto"/>
          <w:lang w:eastAsia="zh-CN"/>
        </w:rPr>
      </w:pPr>
      <w:r>
        <w:rPr>
          <w:rFonts w:hint="eastAsia" w:eastAsia="宋体" w:cs="宋体"/>
          <w:color w:val="auto"/>
          <w:lang w:eastAsia="zh-CN"/>
        </w:rPr>
        <w:drawing>
          <wp:inline distT="0" distB="0" distL="114300" distR="114300">
            <wp:extent cx="5743575" cy="8665845"/>
            <wp:effectExtent l="0" t="0" r="9525" b="1905"/>
            <wp:docPr id="5" name="图片 5" descr="扫描全能王 2025-11-21 11.5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5-11-21 11.54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宋体"/>
          <w:color w:val="auto"/>
          <w:lang w:eastAsia="zh-CN"/>
        </w:rPr>
        <w:drawing>
          <wp:inline distT="0" distB="0" distL="114300" distR="114300">
            <wp:extent cx="5753100" cy="8618220"/>
            <wp:effectExtent l="0" t="0" r="0" b="11430"/>
            <wp:docPr id="4" name="图片 4" descr="扫描全能王 2025-11-21 11.5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11-21 11.54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宋体"/>
          <w:color w:val="auto"/>
          <w:lang w:eastAsia="zh-CN"/>
        </w:rPr>
        <w:drawing>
          <wp:inline distT="0" distB="0" distL="114300" distR="114300">
            <wp:extent cx="5753100" cy="8749030"/>
            <wp:effectExtent l="0" t="0" r="0" b="13970"/>
            <wp:docPr id="3" name="图片 3" descr="扫描全能王 2025-11-21 11.5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11-21 11.54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9904">
      <w:pPr>
        <w:rPr>
          <w:rFonts w:ascii="宋体" w:hAnsi="宋体" w:eastAsia="宋体" w:cs="宋体"/>
          <w:kern w:val="0"/>
          <w:sz w:val="24"/>
        </w:rPr>
      </w:pPr>
    </w:p>
    <w:p w14:paraId="09E151E1">
      <w:pPr>
        <w:adjustRightInd w:val="0"/>
        <w:snapToGrid w:val="0"/>
        <w:jc w:val="center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t>泰安市东原资产经营有限公司第三加油加气站（加油部分）</w:t>
      </w:r>
    </w:p>
    <w:p w14:paraId="73460CAB">
      <w:pPr>
        <w:adjustRightInd w:val="0"/>
        <w:snapToGrid w:val="0"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t>安全设施竣工验收评价</w:t>
      </w:r>
      <w:r>
        <w:rPr>
          <w:rFonts w:hint="eastAsia" w:ascii="宋体" w:hAnsi="宋体" w:eastAsia="宋体" w:cs="宋体"/>
          <w:kern w:val="0"/>
          <w:sz w:val="24"/>
        </w:rPr>
        <w:t>现场照片</w:t>
      </w:r>
    </w:p>
    <w:p w14:paraId="378CA0D8">
      <w:pPr>
        <w:pStyle w:val="6"/>
        <w:widowControl w:val="0"/>
        <w:adjustRightInd w:val="0"/>
        <w:snapToGrid w:val="0"/>
        <w:spacing w:line="240" w:lineRule="auto"/>
        <w:ind w:firstLine="0" w:firstLineChars="0"/>
        <w:rPr>
          <w:rFonts w:hint="eastAsia" w:eastAsiaTheme="minorEastAsia"/>
          <w:lang w:eastAsia="zh-CN"/>
        </w:rPr>
        <w:sectPr>
          <w:pgSz w:w="11906" w:h="16838"/>
          <w:pgMar w:top="1417" w:right="1417" w:bottom="1417" w:left="141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3929380"/>
            <wp:effectExtent l="0" t="0" r="0" b="13970"/>
            <wp:docPr id="2" name="图片 2" descr="IMG_20250902_16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902_1603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5250" cy="3881755"/>
            <wp:effectExtent l="0" t="0" r="6350" b="4445"/>
            <wp:docPr id="1" name="图片 1" descr="IMG_20250902_16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902_1603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255F">
      <w:pPr>
        <w:adjustRightInd w:val="0"/>
        <w:snapToGrid w:val="0"/>
        <w:spacing w:before="360" w:beforeLines="150" w:after="120" w:afterLines="50" w:line="360" w:lineRule="auto"/>
        <w:jc w:val="center"/>
        <w:outlineLvl w:val="0"/>
        <w:rPr>
          <w:rFonts w:hint="eastAsia" w:ascii="黑体" w:eastAsia="黑体"/>
          <w:color w:val="000000"/>
          <w:sz w:val="32"/>
          <w:szCs w:val="32"/>
        </w:rPr>
      </w:pPr>
      <w:bookmarkStart w:id="0" w:name="_Toc23773"/>
      <w:r>
        <w:rPr>
          <w:rFonts w:hint="eastAsia" w:ascii="黑体" w:eastAsia="黑体"/>
          <w:b/>
          <w:bCs/>
          <w:color w:val="000000"/>
          <w:sz w:val="32"/>
          <w:szCs w:val="32"/>
        </w:rPr>
        <w:t>2 建设项目概况</w:t>
      </w:r>
      <w:bookmarkEnd w:id="0"/>
    </w:p>
    <w:p w14:paraId="11551132">
      <w:pPr>
        <w:pStyle w:val="3"/>
        <w:adjustRightInd w:val="0"/>
        <w:snapToGrid w:val="0"/>
        <w:spacing w:before="0" w:after="0" w:line="360" w:lineRule="auto"/>
        <w:jc w:val="center"/>
        <w:rPr>
          <w:rFonts w:hint="eastAsia" w:ascii="楷体_GB2312" w:eastAsia="楷体_GB2312"/>
          <w:color w:val="000000"/>
        </w:rPr>
      </w:pPr>
      <w:bookmarkStart w:id="1" w:name="_Toc24359"/>
      <w:r>
        <w:rPr>
          <w:rFonts w:hint="eastAsia" w:ascii="楷体_GB2312" w:eastAsia="楷体_GB2312"/>
          <w:color w:val="000000"/>
        </w:rPr>
        <w:t>2.1 建设单位简介</w:t>
      </w:r>
      <w:bookmarkEnd w:id="1"/>
    </w:p>
    <w:p w14:paraId="703AD9D2">
      <w:pPr>
        <w:topLinePunct/>
        <w:adjustRightInd w:val="0"/>
        <w:snapToGrid w:val="0"/>
        <w:spacing w:line="360" w:lineRule="auto"/>
        <w:ind w:firstLine="560" w:firstLineChars="200"/>
        <w:rPr>
          <w:rFonts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eastAsia="zh-CN"/>
        </w:rPr>
        <w:t>泰安市东原资产经营有限公司第三加油加气站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位于</w:t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>山东省泰安市东平县彭集街道袁海村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，该建设单位成立于20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25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年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06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月2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7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日，法定代表人为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薛原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，</w:t>
      </w:r>
      <w:r>
        <w:rPr>
          <w:rFonts w:hint="eastAsia" w:ascii="宋体" w:hAnsi="宋体"/>
          <w:color w:val="000000"/>
          <w:sz w:val="28"/>
          <w:szCs w:val="28"/>
        </w:rPr>
        <w:t>加油站</w:t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>东、北两侧为农田，西侧为G105国道，南侧为乡村小路</w:t>
      </w:r>
      <w:r>
        <w:rPr>
          <w:rFonts w:hint="eastAsia" w:ascii="宋体" w:hAnsi="宋体" w:cs="宋体"/>
          <w:color w:val="000000"/>
          <w:sz w:val="28"/>
          <w:szCs w:val="28"/>
        </w:rPr>
        <w:t>，交通便利</w:t>
      </w:r>
      <w:r>
        <w:rPr>
          <w:rFonts w:hint="eastAsia" w:ascii="宋体" w:hAnsi="宋体"/>
          <w:color w:val="000000"/>
          <w:sz w:val="28"/>
          <w:szCs w:val="28"/>
        </w:rPr>
        <w:t>。</w:t>
      </w:r>
    </w:p>
    <w:p w14:paraId="14E864F4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该项目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劳动定员6</w:t>
      </w:r>
      <w:r>
        <w:rPr>
          <w:rFonts w:hint="eastAsia" w:ascii="宋体" w:hAnsi="宋体"/>
          <w:color w:val="000000"/>
          <w:sz w:val="28"/>
          <w:szCs w:val="28"/>
        </w:rPr>
        <w:t>人，其中主要负责人1人，安全生产管理员1人。主要负责人和安全生产管理人员已参加了危险化学品安全管理培训，并取得考核合格证。</w:t>
      </w:r>
    </w:p>
    <w:p w14:paraId="7CAD93BF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该站建设内容包含加油部分和加气部分。加油部分建设内容有5台30m³卧式双层埋地油罐（92#汽油、95#汽油、98#汽油各1台，柴油2台），6台双枪加油机（潜油泵式）；加气部分建设内容有1台60m³LNG立式储罐、2台LNG加气机、1套LNG潜液泵；依据《汽车加油加气加氢站技术标准》（GB50156-2021）标准第3.0.16条规定：按公式计算LNG储罐与油品储罐总容积：120/240+60/180≈0.83&lt;1，该站属一级加油加气站。本次只对加油相关设施（储罐区、加油区、站房）进行评价，加气相关设施不在本次评价范围内。</w:t>
      </w:r>
    </w:p>
    <w:p w14:paraId="1973BD1B">
      <w:pPr>
        <w:pStyle w:val="17"/>
        <w:widowControl w:val="0"/>
        <w:adjustRightInd w:val="0"/>
        <w:snapToGrid w:val="0"/>
        <w:spacing w:line="360" w:lineRule="auto"/>
        <w:ind w:firstLine="560"/>
        <w:rPr>
          <w:rFonts w:ascii="宋体"/>
        </w:rPr>
      </w:pPr>
      <w:r>
        <w:rPr>
          <w:rFonts w:hint="eastAsia" w:ascii="宋体" w:hAnsi="宋体"/>
          <w:color w:val="000000"/>
          <w:spacing w:val="0"/>
          <w:sz w:val="28"/>
          <w:szCs w:val="28"/>
          <w:lang w:val="en-US" w:eastAsia="zh-CN"/>
        </w:rPr>
        <w:t>该站于2021年03月11日取得了土地证，证书编号：鲁（2021）东平县不动产权第0001189号，使用期限至2059年03月10日。详见附件</w:t>
      </w:r>
      <w:r>
        <w:rPr>
          <w:rFonts w:hint="eastAsia" w:ascii="宋体" w:hAnsi="宋体"/>
          <w:color w:val="000000"/>
          <w:spacing w:val="0"/>
          <w:sz w:val="28"/>
          <w:szCs w:val="28"/>
        </w:rPr>
        <w:t>。</w:t>
      </w:r>
    </w:p>
    <w:p w14:paraId="7D797241">
      <w:pPr>
        <w:adjustRightInd w:val="0"/>
        <w:snapToGrid w:val="0"/>
        <w:spacing w:before="468" w:beforeLines="150" w:after="156" w:afterLines="50" w:line="360" w:lineRule="auto"/>
        <w:jc w:val="center"/>
        <w:outlineLvl w:val="0"/>
        <w:rPr>
          <w:rFonts w:hint="eastAsia" w:ascii="黑体" w:eastAsia="黑体"/>
          <w:color w:val="000000"/>
          <w:sz w:val="32"/>
          <w:szCs w:val="32"/>
        </w:rPr>
      </w:pPr>
      <w:bookmarkStart w:id="2" w:name="_Toc3686"/>
      <w:bookmarkStart w:id="3" w:name="_Toc15033761"/>
      <w:bookmarkStart w:id="4" w:name="_Toc102634276"/>
      <w:bookmarkStart w:id="5" w:name="_Toc9894"/>
      <w:bookmarkStart w:id="6" w:name="_Toc102633988"/>
      <w:bookmarkStart w:id="7" w:name="_Toc102633914"/>
      <w:bookmarkStart w:id="8" w:name="_Toc102634414"/>
      <w:r>
        <w:rPr>
          <w:rFonts w:hint="eastAsia" w:ascii="黑体" w:eastAsia="黑体"/>
          <w:b/>
          <w:bCs/>
          <w:color w:val="000000"/>
          <w:sz w:val="32"/>
          <w:szCs w:val="32"/>
        </w:rPr>
        <w:t>4 安全经营条件</w:t>
      </w:r>
      <w:bookmarkEnd w:id="2"/>
    </w:p>
    <w:p w14:paraId="3A8A1FBD">
      <w:pPr>
        <w:pStyle w:val="3"/>
        <w:adjustRightInd w:val="0"/>
        <w:snapToGrid w:val="0"/>
        <w:spacing w:before="0" w:after="0" w:line="360" w:lineRule="auto"/>
        <w:jc w:val="center"/>
        <w:rPr>
          <w:rFonts w:hint="eastAsia" w:ascii="楷体_GB2312" w:eastAsia="楷体_GB2312"/>
          <w:color w:val="000000"/>
        </w:rPr>
      </w:pPr>
      <w:bookmarkStart w:id="9" w:name="_Toc32083"/>
      <w:r>
        <w:rPr>
          <w:rFonts w:hint="eastAsia" w:ascii="楷体_GB2312" w:eastAsia="楷体_GB2312"/>
          <w:color w:val="000000"/>
        </w:rPr>
        <w:t>4.1 评价单元划分</w:t>
      </w:r>
      <w:bookmarkEnd w:id="9"/>
    </w:p>
    <w:p w14:paraId="5B0DC99A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根据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eastAsia="zh-CN"/>
        </w:rPr>
        <w:t>泰安市东原资产经营有限公司第三加油加气站（加油部分）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的特点，本次安全评价划分为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4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个单元，即安全管理、站址选择及总平面布置、加油工艺及设施、其它设施。</w:t>
      </w:r>
    </w:p>
    <w:p w14:paraId="0A980BB4">
      <w:pPr>
        <w:pStyle w:val="3"/>
        <w:adjustRightInd w:val="0"/>
        <w:snapToGrid w:val="0"/>
        <w:spacing w:before="0" w:after="0" w:line="360" w:lineRule="auto"/>
        <w:jc w:val="center"/>
        <w:rPr>
          <w:rFonts w:hint="eastAsia" w:ascii="楷体_GB2312" w:eastAsia="楷体_GB2312"/>
          <w:color w:val="000000"/>
        </w:rPr>
      </w:pPr>
      <w:bookmarkStart w:id="10" w:name="_Toc29698"/>
      <w:r>
        <w:rPr>
          <w:rFonts w:hint="eastAsia" w:ascii="楷体_GB2312" w:eastAsia="楷体_GB2312"/>
          <w:color w:val="000000"/>
        </w:rPr>
        <w:t>4.2 评价方法选择</w:t>
      </w:r>
      <w:bookmarkEnd w:id="10"/>
    </w:p>
    <w:p w14:paraId="084624D1">
      <w:pPr>
        <w:adjustRightInd w:val="0"/>
        <w:snapToGrid w:val="0"/>
        <w:spacing w:line="360" w:lineRule="auto"/>
        <w:ind w:firstLine="562" w:firstLineChars="200"/>
        <w:outlineLvl w:val="2"/>
        <w:rPr>
          <w:rFonts w:hint="eastAsia" w:ascii="黑体" w:hAnsi="宋体" w:eastAsia="黑体"/>
          <w:b/>
          <w:color w:val="000000"/>
          <w:sz w:val="28"/>
          <w:szCs w:val="28"/>
        </w:rPr>
      </w:pPr>
      <w:r>
        <w:rPr>
          <w:rFonts w:hint="eastAsia" w:ascii="黑体" w:hAnsi="宋体" w:eastAsia="黑体"/>
          <w:b/>
          <w:color w:val="000000"/>
          <w:sz w:val="28"/>
          <w:szCs w:val="28"/>
        </w:rPr>
        <w:t>4.2.1 评价方法选用表</w:t>
      </w:r>
    </w:p>
    <w:p w14:paraId="0F5390C9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首先,我们运用安全检查表的方法对本项目的设计进行检查，确定本项目的总体安全性。然后，根据各评价单元的特点选择适合的评价方法进行评价，具体方法选择见表4.2-1。</w:t>
      </w:r>
    </w:p>
    <w:p w14:paraId="4BAAE2B9">
      <w:pPr>
        <w:pStyle w:val="24"/>
        <w:adjustRightInd w:val="0"/>
        <w:snapToGrid w:val="0"/>
        <w:spacing w:line="360" w:lineRule="auto"/>
        <w:outlineLvl w:val="9"/>
        <w:rPr>
          <w:rFonts w:hint="eastAsia"/>
          <w:color w:val="000000"/>
        </w:rPr>
      </w:pPr>
      <w:r>
        <w:rPr>
          <w:rFonts w:hint="eastAsia"/>
          <w:color w:val="000000"/>
        </w:rPr>
        <w:t>表4.2-1 评价方法选用表</w:t>
      </w:r>
    </w:p>
    <w:tbl>
      <w:tblPr>
        <w:tblStyle w:val="11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3196"/>
        <w:gridCol w:w="3762"/>
      </w:tblGrid>
      <w:tr w14:paraId="0C4B3B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254" w:type="pct"/>
            <w:noWrap w:val="0"/>
            <w:vAlign w:val="center"/>
          </w:tcPr>
          <w:p w14:paraId="55940FEB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序号</w:t>
            </w:r>
          </w:p>
        </w:tc>
        <w:tc>
          <w:tcPr>
            <w:tcW w:w="1720" w:type="pct"/>
            <w:noWrap w:val="0"/>
            <w:vAlign w:val="center"/>
          </w:tcPr>
          <w:p w14:paraId="5F9C7E9B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评价单元名称</w:t>
            </w:r>
          </w:p>
        </w:tc>
        <w:tc>
          <w:tcPr>
            <w:tcW w:w="2024" w:type="pct"/>
            <w:noWrap w:val="0"/>
            <w:vAlign w:val="center"/>
          </w:tcPr>
          <w:p w14:paraId="178B6320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采用的评价方法</w:t>
            </w:r>
          </w:p>
        </w:tc>
      </w:tr>
      <w:tr w14:paraId="1C767C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  <w:jc w:val="center"/>
        </w:trPr>
        <w:tc>
          <w:tcPr>
            <w:tcW w:w="1254" w:type="pct"/>
            <w:noWrap w:val="0"/>
            <w:vAlign w:val="center"/>
          </w:tcPr>
          <w:p w14:paraId="335BA1AC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  <w:t>P</w:t>
            </w: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  <w:vertAlign w:val="subscript"/>
              </w:rPr>
              <w:t>1</w:t>
            </w:r>
          </w:p>
        </w:tc>
        <w:tc>
          <w:tcPr>
            <w:tcW w:w="1720" w:type="pct"/>
            <w:noWrap w:val="0"/>
            <w:vAlign w:val="center"/>
          </w:tcPr>
          <w:p w14:paraId="1ADBBF26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/>
                <w:color w:val="000000"/>
                <w:szCs w:val="28"/>
              </w:rPr>
              <w:t>安全管理</w:t>
            </w:r>
          </w:p>
        </w:tc>
        <w:tc>
          <w:tcPr>
            <w:tcW w:w="2024" w:type="pct"/>
            <w:noWrap w:val="0"/>
            <w:vAlign w:val="center"/>
          </w:tcPr>
          <w:p w14:paraId="03092DD5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安全检查表</w:t>
            </w:r>
          </w:p>
        </w:tc>
      </w:tr>
      <w:tr w14:paraId="039ED4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  <w:jc w:val="center"/>
        </w:trPr>
        <w:tc>
          <w:tcPr>
            <w:tcW w:w="1254" w:type="pct"/>
            <w:noWrap w:val="0"/>
            <w:vAlign w:val="center"/>
          </w:tcPr>
          <w:p w14:paraId="27CB2BB2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  <w:t>P</w:t>
            </w: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  <w:vertAlign w:val="subscript"/>
              </w:rPr>
              <w:t>2</w:t>
            </w:r>
          </w:p>
        </w:tc>
        <w:tc>
          <w:tcPr>
            <w:tcW w:w="1720" w:type="pct"/>
            <w:noWrap w:val="0"/>
            <w:vAlign w:val="center"/>
          </w:tcPr>
          <w:p w14:paraId="0F71547F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/>
                <w:color w:val="000000"/>
                <w:szCs w:val="28"/>
              </w:rPr>
              <w:t>站址选择</w:t>
            </w:r>
            <w:r>
              <w:rPr>
                <w:rFonts w:hint="eastAsia" w:ascii="宋体" w:hAnsi="宋体"/>
                <w:color w:val="000000"/>
              </w:rPr>
              <w:t>总平面布置</w:t>
            </w:r>
          </w:p>
        </w:tc>
        <w:tc>
          <w:tcPr>
            <w:tcW w:w="2024" w:type="pct"/>
            <w:noWrap w:val="0"/>
            <w:vAlign w:val="center"/>
          </w:tcPr>
          <w:p w14:paraId="4133409A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</w:rPr>
              <w:t>安全检查表</w:t>
            </w:r>
          </w:p>
        </w:tc>
      </w:tr>
      <w:tr w14:paraId="59B794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  <w:jc w:val="center"/>
        </w:trPr>
        <w:tc>
          <w:tcPr>
            <w:tcW w:w="1254" w:type="pct"/>
            <w:noWrap w:val="0"/>
            <w:vAlign w:val="center"/>
          </w:tcPr>
          <w:p w14:paraId="2D2E5153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  <w:t>P</w:t>
            </w: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  <w:vertAlign w:val="subscript"/>
              </w:rPr>
              <w:t>3</w:t>
            </w:r>
          </w:p>
        </w:tc>
        <w:tc>
          <w:tcPr>
            <w:tcW w:w="1720" w:type="pct"/>
            <w:noWrap w:val="0"/>
            <w:vAlign w:val="center"/>
          </w:tcPr>
          <w:p w14:paraId="3777AD14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/>
                <w:color w:val="000000"/>
                <w:szCs w:val="28"/>
              </w:rPr>
              <w:t>加油工艺及设施</w:t>
            </w:r>
          </w:p>
        </w:tc>
        <w:tc>
          <w:tcPr>
            <w:tcW w:w="2024" w:type="pct"/>
            <w:noWrap w:val="0"/>
            <w:vAlign w:val="center"/>
          </w:tcPr>
          <w:p w14:paraId="638C0E6D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Cs w:val="21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Cs w:val="21"/>
              </w:rPr>
              <w:t>安全检查表、PHA、事故树</w:t>
            </w:r>
          </w:p>
        </w:tc>
      </w:tr>
      <w:tr w14:paraId="3A5E3F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  <w:jc w:val="center"/>
        </w:trPr>
        <w:tc>
          <w:tcPr>
            <w:tcW w:w="1254" w:type="pct"/>
            <w:noWrap w:val="0"/>
            <w:vAlign w:val="center"/>
          </w:tcPr>
          <w:p w14:paraId="1EFDF4D5">
            <w:pPr>
              <w:pStyle w:val="26"/>
              <w:adjustRightInd w:val="0"/>
              <w:spacing w:line="360" w:lineRule="auto"/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</w:pP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</w:rPr>
              <w:t>P</w:t>
            </w:r>
            <w:r>
              <w:rPr>
                <w:rFonts w:hint="eastAsia" w:ascii="宋体" w:hAnsi="宋体"/>
                <w:snapToGrid/>
                <w:color w:val="000000"/>
                <w:kern w:val="2"/>
                <w:sz w:val="24"/>
                <w:vertAlign w:val="subscript"/>
              </w:rPr>
              <w:t>4</w:t>
            </w:r>
          </w:p>
        </w:tc>
        <w:tc>
          <w:tcPr>
            <w:tcW w:w="1720" w:type="pct"/>
            <w:noWrap w:val="0"/>
            <w:vAlign w:val="center"/>
          </w:tcPr>
          <w:p w14:paraId="29CA8C6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其它设施</w:t>
            </w:r>
          </w:p>
        </w:tc>
        <w:tc>
          <w:tcPr>
            <w:tcW w:w="2024" w:type="pct"/>
            <w:noWrap w:val="0"/>
            <w:vAlign w:val="center"/>
          </w:tcPr>
          <w:p w14:paraId="77AF7B53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安全检查表</w:t>
            </w:r>
          </w:p>
        </w:tc>
      </w:tr>
    </w:tbl>
    <w:p w14:paraId="7271BADE">
      <w:pPr>
        <w:adjustRightInd w:val="0"/>
        <w:snapToGrid w:val="0"/>
        <w:spacing w:line="360" w:lineRule="auto"/>
        <w:ind w:firstLine="562" w:firstLineChars="200"/>
        <w:outlineLvl w:val="2"/>
        <w:rPr>
          <w:rFonts w:hint="eastAsia" w:ascii="黑体" w:hAnsi="宋体" w:eastAsia="黑体"/>
          <w:b/>
          <w:color w:val="000000"/>
          <w:sz w:val="28"/>
          <w:szCs w:val="28"/>
        </w:rPr>
      </w:pPr>
      <w:r>
        <w:rPr>
          <w:rFonts w:hint="eastAsia" w:ascii="黑体" w:hAnsi="宋体" w:eastAsia="黑体"/>
          <w:b/>
          <w:color w:val="000000"/>
          <w:sz w:val="28"/>
          <w:szCs w:val="28"/>
        </w:rPr>
        <w:t>4.2.2 评价方法选用说明</w:t>
      </w:r>
    </w:p>
    <w:p w14:paraId="03CBDD08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（1）对上述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4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个评价单元采用安全检查表法，判断设计、安装中涉及的安全设施及对策措施的充分性。</w:t>
      </w:r>
    </w:p>
    <w:p w14:paraId="2C2AD936">
      <w:pPr>
        <w:adjustRightInd w:val="0"/>
        <w:snapToGrid w:val="0"/>
        <w:spacing w:line="360" w:lineRule="auto"/>
        <w:ind w:firstLine="560" w:firstLineChars="200"/>
        <w:rPr>
          <w:rFonts w:hint="eastAsia" w:ascii="宋体" w:hAnsi="宋体"/>
          <w:snapToGrid w:val="0"/>
          <w:color w:val="000000"/>
          <w:spacing w:val="0"/>
          <w:kern w:val="0"/>
          <w:sz w:val="28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（2）对上述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  <w:lang w:val="en-US" w:eastAsia="zh-CN"/>
        </w:rPr>
        <w:t>4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个评价单元存在的危险、有害因素采用预先危险性分析法（PHA），预测各危险、有害因素的固有危险、有害程度。</w:t>
      </w:r>
    </w:p>
    <w:p w14:paraId="4D892009">
      <w:pPr>
        <w:rPr>
          <w:rFonts w:eastAsia="黑体"/>
          <w:kern w:val="2"/>
          <w:sz w:val="32"/>
          <w:szCs w:val="21"/>
        </w:rPr>
      </w:pP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（3）通过事故树分析详细查明系统各种固有、潜在的危险因素或事故原因，为项目正式运营制定安全技术对策、采取安全管理措施和事故分析提供依据。</w:t>
      </w:r>
      <w:r>
        <w:rPr>
          <w:rFonts w:eastAsia="黑体"/>
          <w:kern w:val="2"/>
          <w:sz w:val="32"/>
          <w:szCs w:val="21"/>
        </w:rPr>
        <w:br w:type="page"/>
      </w:r>
    </w:p>
    <w:bookmarkEnd w:id="3"/>
    <w:bookmarkEnd w:id="4"/>
    <w:bookmarkEnd w:id="5"/>
    <w:bookmarkEnd w:id="6"/>
    <w:bookmarkEnd w:id="7"/>
    <w:bookmarkEnd w:id="8"/>
    <w:p w14:paraId="3AD8ED00">
      <w:pPr>
        <w:pStyle w:val="3"/>
        <w:adjustRightInd w:val="0"/>
        <w:snapToGrid w:val="0"/>
        <w:spacing w:before="0" w:after="0" w:line="360" w:lineRule="auto"/>
        <w:jc w:val="center"/>
        <w:rPr>
          <w:rFonts w:hint="eastAsia" w:ascii="楷体_GB2312" w:eastAsia="楷体_GB2312"/>
          <w:color w:val="000000"/>
        </w:rPr>
      </w:pPr>
      <w:bookmarkStart w:id="11" w:name="_Toc17489"/>
      <w:r>
        <w:rPr>
          <w:rFonts w:hint="eastAsia" w:ascii="楷体_GB2312" w:eastAsia="楷体_GB2312"/>
          <w:color w:val="000000"/>
        </w:rPr>
        <w:t>8.2 存在问题及改进建议</w:t>
      </w:r>
      <w:bookmarkEnd w:id="11"/>
    </w:p>
    <w:p w14:paraId="48065C82">
      <w:pPr>
        <w:adjustRightInd w:val="0"/>
        <w:snapToGrid w:val="0"/>
        <w:spacing w:line="360" w:lineRule="auto"/>
        <w:ind w:firstLine="562" w:firstLineChars="200"/>
        <w:outlineLvl w:val="2"/>
        <w:rPr>
          <w:rFonts w:hint="eastAsia" w:ascii="黑体" w:hAnsi="黑体" w:eastAsia="黑体" w:cs="黑体"/>
          <w:b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/>
          <w:color w:val="000000"/>
          <w:sz w:val="28"/>
          <w:szCs w:val="28"/>
        </w:rPr>
        <w:t>8.2.1存在问题</w:t>
      </w:r>
    </w:p>
    <w:p w14:paraId="3E2FAB6B">
      <w:pPr>
        <w:pStyle w:val="24"/>
        <w:adjustRightInd w:val="0"/>
        <w:snapToGrid w:val="0"/>
        <w:spacing w:line="360" w:lineRule="auto"/>
        <w:outlineLvl w:val="9"/>
        <w:rPr>
          <w:rFonts w:hint="eastAsia" w:ascii="黑体" w:hAnsi="黑体"/>
          <w:color w:val="000000"/>
        </w:rPr>
      </w:pPr>
      <w:r>
        <w:rPr>
          <w:rFonts w:hint="eastAsia" w:ascii="黑体" w:hAnsi="黑体"/>
          <w:color w:val="000000"/>
        </w:rPr>
        <w:t>表8.2-1  现场存在问题表</w:t>
      </w:r>
    </w:p>
    <w:tbl>
      <w:tblPr>
        <w:tblStyle w:val="11"/>
        <w:tblW w:w="9419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3698"/>
        <w:gridCol w:w="4903"/>
      </w:tblGrid>
      <w:tr w14:paraId="0A1181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818" w:type="dxa"/>
            <w:noWrap w:val="0"/>
            <w:vAlign w:val="center"/>
          </w:tcPr>
          <w:p w14:paraId="74D890AF">
            <w:pPr>
              <w:widowControl/>
              <w:tabs>
                <w:tab w:val="left" w:pos="6120"/>
              </w:tabs>
              <w:adjustRightInd w:val="0"/>
              <w:snapToGrid w:val="0"/>
              <w:spacing w:before="24" w:beforeLines="10" w:after="24" w:afterLines="10" w:line="320" w:lineRule="exact"/>
              <w:jc w:val="center"/>
              <w:textAlignment w:val="baseline"/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  <w:t>序号</w:t>
            </w:r>
          </w:p>
        </w:tc>
        <w:tc>
          <w:tcPr>
            <w:tcW w:w="3698" w:type="dxa"/>
            <w:noWrap w:val="0"/>
            <w:vAlign w:val="center"/>
          </w:tcPr>
          <w:p w14:paraId="59E7155B">
            <w:pPr>
              <w:widowControl/>
              <w:tabs>
                <w:tab w:val="left" w:pos="6120"/>
              </w:tabs>
              <w:adjustRightInd w:val="0"/>
              <w:snapToGrid w:val="0"/>
              <w:spacing w:before="24" w:beforeLines="10" w:after="24" w:afterLines="10" w:line="320" w:lineRule="exact"/>
              <w:jc w:val="center"/>
              <w:textAlignment w:val="baseline"/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  <w:t>企业存在的问题</w:t>
            </w:r>
          </w:p>
        </w:tc>
        <w:tc>
          <w:tcPr>
            <w:tcW w:w="4903" w:type="dxa"/>
            <w:noWrap w:val="0"/>
            <w:vAlign w:val="center"/>
          </w:tcPr>
          <w:p w14:paraId="3AD85FB5">
            <w:pPr>
              <w:widowControl/>
              <w:tabs>
                <w:tab w:val="left" w:pos="6120"/>
              </w:tabs>
              <w:adjustRightInd w:val="0"/>
              <w:snapToGrid w:val="0"/>
              <w:spacing w:before="24" w:beforeLines="10" w:after="24" w:afterLines="10" w:line="320" w:lineRule="exact"/>
              <w:jc w:val="center"/>
              <w:textAlignment w:val="baseline"/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position w:val="2"/>
                <w:u w:val="none" w:color="000000"/>
              </w:rPr>
              <w:t>整改建议措施</w:t>
            </w:r>
          </w:p>
        </w:tc>
      </w:tr>
      <w:tr w14:paraId="7E9125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8" w:type="dxa"/>
            <w:noWrap w:val="0"/>
            <w:vAlign w:val="center"/>
          </w:tcPr>
          <w:p w14:paraId="4E7EEF76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  <w:t>1</w:t>
            </w:r>
          </w:p>
        </w:tc>
        <w:tc>
          <w:tcPr>
            <w:tcW w:w="3698" w:type="dxa"/>
            <w:noWrap w:val="0"/>
            <w:vAlign w:val="center"/>
          </w:tcPr>
          <w:p w14:paraId="0A7ADBC8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default" w:ascii="宋体" w:hAnsi="宋体" w:eastAsia="宋体" w:cs="宋体"/>
                <w:bCs/>
                <w:color w:val="000000"/>
                <w:kern w:val="0"/>
                <w:position w:val="2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现场标识缺失（油品标识、警示标识等）；</w:t>
            </w:r>
          </w:p>
        </w:tc>
        <w:tc>
          <w:tcPr>
            <w:tcW w:w="4903" w:type="dxa"/>
            <w:noWrap w:val="0"/>
            <w:vAlign w:val="center"/>
          </w:tcPr>
          <w:p w14:paraId="22B991B8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/>
                <w:color w:val="000000"/>
                <w:lang w:val="en-US" w:eastAsia="zh-CN"/>
              </w:rPr>
              <w:t>应补充</w:t>
            </w:r>
            <w:r>
              <w:rPr>
                <w:rFonts w:hint="eastAsia"/>
                <w:color w:val="000000"/>
              </w:rPr>
              <w:t>现场标识（油品标识、警示标识等）；</w:t>
            </w:r>
          </w:p>
        </w:tc>
      </w:tr>
      <w:tr w14:paraId="68D6AB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8" w:type="dxa"/>
            <w:noWrap w:val="0"/>
            <w:vAlign w:val="center"/>
          </w:tcPr>
          <w:p w14:paraId="4CF3912B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  <w:t>2</w:t>
            </w:r>
          </w:p>
        </w:tc>
        <w:tc>
          <w:tcPr>
            <w:tcW w:w="3698" w:type="dxa"/>
            <w:noWrap w:val="0"/>
            <w:vAlign w:val="center"/>
          </w:tcPr>
          <w:p w14:paraId="3B07AAFB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kern w:val="0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出入口未分开设置；</w:t>
            </w:r>
          </w:p>
        </w:tc>
        <w:tc>
          <w:tcPr>
            <w:tcW w:w="4903" w:type="dxa"/>
            <w:noWrap w:val="0"/>
            <w:vAlign w:val="center"/>
          </w:tcPr>
          <w:p w14:paraId="6090E1DF">
            <w:pPr>
              <w:widowControl/>
              <w:adjustRightInd w:val="0"/>
              <w:snapToGrid w:val="0"/>
              <w:jc w:val="center"/>
              <w:textAlignment w:val="baseline"/>
              <w:rPr>
                <w:rFonts w:ascii="宋体" w:hAnsi="宋体" w:cs="宋体"/>
                <w:color w:val="000000"/>
                <w:kern w:val="0"/>
                <w:u w:val="none" w:color="000000"/>
              </w:rPr>
            </w:pPr>
            <w:r>
              <w:rPr>
                <w:rFonts w:hint="eastAsia"/>
                <w:color w:val="000000"/>
              </w:rPr>
              <w:t>出入口</w:t>
            </w:r>
            <w:r>
              <w:rPr>
                <w:rFonts w:hint="eastAsia"/>
                <w:color w:val="000000"/>
                <w:lang w:val="en-US" w:eastAsia="zh-CN"/>
              </w:rPr>
              <w:t>应</w:t>
            </w:r>
            <w:r>
              <w:rPr>
                <w:rFonts w:hint="eastAsia"/>
                <w:color w:val="000000"/>
              </w:rPr>
              <w:t>分开设置；</w:t>
            </w:r>
          </w:p>
        </w:tc>
      </w:tr>
      <w:tr w14:paraId="642012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8" w:type="dxa"/>
            <w:noWrap w:val="0"/>
            <w:vAlign w:val="center"/>
          </w:tcPr>
          <w:p w14:paraId="30FD33F3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</w:rPr>
              <w:t>3</w:t>
            </w:r>
          </w:p>
        </w:tc>
        <w:tc>
          <w:tcPr>
            <w:tcW w:w="3698" w:type="dxa"/>
            <w:noWrap w:val="0"/>
            <w:vAlign w:val="center"/>
          </w:tcPr>
          <w:p w14:paraId="12CF5B18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default" w:ascii="宋体" w:hAnsi="宋体" w:eastAsia="宋体" w:cs="宋体"/>
                <w:color w:val="000000"/>
                <w:kern w:val="0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液位仪、测漏仪未正常使用；</w:t>
            </w:r>
          </w:p>
        </w:tc>
        <w:tc>
          <w:tcPr>
            <w:tcW w:w="4903" w:type="dxa"/>
            <w:noWrap w:val="0"/>
            <w:vAlign w:val="center"/>
          </w:tcPr>
          <w:p w14:paraId="7290D834">
            <w:pPr>
              <w:widowControl/>
              <w:adjustRightInd w:val="0"/>
              <w:snapToGrid w:val="0"/>
              <w:jc w:val="center"/>
              <w:textAlignment w:val="baseline"/>
              <w:rPr>
                <w:rFonts w:ascii="宋体" w:hAnsi="宋体" w:cs="宋体"/>
                <w:color w:val="000000"/>
                <w:kern w:val="0"/>
                <w:u w:val="none" w:color="000000"/>
              </w:rPr>
            </w:pPr>
            <w:r>
              <w:rPr>
                <w:rFonts w:hint="eastAsia"/>
                <w:color w:val="000000"/>
              </w:rPr>
              <w:t>液位仪、测漏仪</w:t>
            </w:r>
            <w:r>
              <w:rPr>
                <w:rFonts w:hint="eastAsia"/>
                <w:color w:val="000000"/>
                <w:lang w:val="en-US" w:eastAsia="zh-CN"/>
              </w:rPr>
              <w:t>应</w:t>
            </w:r>
            <w:r>
              <w:rPr>
                <w:rFonts w:hint="eastAsia"/>
                <w:color w:val="000000"/>
              </w:rPr>
              <w:t>正常使用；</w:t>
            </w:r>
          </w:p>
        </w:tc>
      </w:tr>
      <w:tr w14:paraId="735B95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8" w:type="dxa"/>
            <w:noWrap w:val="0"/>
            <w:vAlign w:val="center"/>
          </w:tcPr>
          <w:p w14:paraId="53A802B5">
            <w:pPr>
              <w:widowControl/>
              <w:tabs>
                <w:tab w:val="left" w:pos="6120"/>
              </w:tabs>
              <w:adjustRightInd w:val="0"/>
              <w:snapToGrid w:val="0"/>
              <w:jc w:val="center"/>
              <w:textAlignment w:val="baseline"/>
              <w:rPr>
                <w:rFonts w:hint="eastAsia" w:ascii="宋体" w:hAnsi="宋体" w:eastAsia="宋体" w:cs="宋体"/>
                <w:bCs/>
                <w:color w:val="000000"/>
                <w:kern w:val="0"/>
                <w:position w:val="2"/>
                <w:u w:val="none" w:color="000000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position w:val="2"/>
                <w:u w:val="none" w:color="000000"/>
                <w:lang w:val="en-US" w:eastAsia="zh-CN"/>
              </w:rPr>
              <w:t>4</w:t>
            </w:r>
          </w:p>
        </w:tc>
        <w:tc>
          <w:tcPr>
            <w:tcW w:w="3698" w:type="dxa"/>
            <w:noWrap w:val="0"/>
            <w:vAlign w:val="center"/>
          </w:tcPr>
          <w:p w14:paraId="253EA4EC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color w:val="000000"/>
                <w:kern w:val="0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现场未设置消防设施。</w:t>
            </w:r>
          </w:p>
        </w:tc>
        <w:tc>
          <w:tcPr>
            <w:tcW w:w="4903" w:type="dxa"/>
            <w:noWrap w:val="0"/>
            <w:vAlign w:val="center"/>
          </w:tcPr>
          <w:p w14:paraId="09FF0357">
            <w:pPr>
              <w:widowControl/>
              <w:adjustRightInd w:val="0"/>
              <w:snapToGrid w:val="0"/>
              <w:jc w:val="center"/>
              <w:textAlignment w:val="baseline"/>
              <w:rPr>
                <w:rFonts w:hint="eastAsia" w:ascii="宋体" w:hAnsi="宋体" w:cs="宋体"/>
                <w:color w:val="000000"/>
                <w:kern w:val="0"/>
                <w:u w:val="none" w:color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rFonts w:hint="eastAsia"/>
                <w:color w:val="000000"/>
                <w:lang w:val="en-US" w:eastAsia="zh-CN"/>
              </w:rPr>
              <w:t>应</w:t>
            </w:r>
            <w:r>
              <w:rPr>
                <w:rFonts w:hint="eastAsia"/>
                <w:color w:val="000000"/>
              </w:rPr>
              <w:t>设置消防设施。</w:t>
            </w:r>
          </w:p>
        </w:tc>
      </w:tr>
    </w:tbl>
    <w:p w14:paraId="13379AD0">
      <w:pPr>
        <w:pStyle w:val="17"/>
        <w:spacing w:line="360" w:lineRule="auto"/>
        <w:ind w:firstLine="560"/>
        <w:rPr>
          <w:rFonts w:hint="eastAsia" w:ascii="宋体" w:eastAsia="宋体"/>
          <w:lang w:eastAsia="zh-CN"/>
        </w:rPr>
        <w:sectPr>
          <w:pgSz w:w="11906" w:h="16838"/>
          <w:pgMar w:top="1417" w:right="1417" w:bottom="1417" w:left="1417" w:header="851" w:footer="992" w:gutter="0"/>
          <w:cols w:space="425" w:num="1"/>
          <w:docGrid w:type="lines" w:linePitch="312" w:charSpace="0"/>
        </w:sectPr>
      </w:pPr>
      <w:r>
        <w:rPr>
          <w:rFonts w:hint="eastAsia"/>
          <w:color w:val="000000"/>
          <w:kern w:val="0"/>
          <w:sz w:val="28"/>
          <w:szCs w:val="20"/>
        </w:rPr>
        <w:t>加油站将上述问题整改合格后，该站的</w:t>
      </w:r>
      <w:r>
        <w:rPr>
          <w:rFonts w:ascii="宋体" w:hAnsi="宋体"/>
          <w:snapToGrid w:val="0"/>
          <w:color w:val="000000"/>
          <w:spacing w:val="0"/>
          <w:kern w:val="0"/>
          <w:sz w:val="28"/>
        </w:rPr>
        <w:t>设备设施、安全管理条件，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符合</w:t>
      </w:r>
      <w:r>
        <w:rPr>
          <w:rFonts w:ascii="宋体" w:hAnsi="宋体"/>
          <w:snapToGrid w:val="0"/>
          <w:color w:val="000000"/>
          <w:spacing w:val="0"/>
          <w:kern w:val="0"/>
          <w:sz w:val="28"/>
        </w:rPr>
        <w:t>有关法规、规范和标准的要求，单位</w:t>
      </w:r>
      <w:r>
        <w:rPr>
          <w:rFonts w:hint="eastAsia" w:ascii="宋体" w:hAnsi="宋体"/>
          <w:snapToGrid w:val="0"/>
          <w:color w:val="000000"/>
          <w:spacing w:val="0"/>
          <w:kern w:val="0"/>
          <w:sz w:val="28"/>
        </w:rPr>
        <w:t>在后期经营活动中还要加强各项管理制度的落实</w:t>
      </w:r>
      <w:r>
        <w:rPr>
          <w:rFonts w:hint="eastAsia" w:ascii="宋体"/>
          <w:kern w:val="0"/>
          <w:sz w:val="28"/>
          <w:szCs w:val="20"/>
          <w:lang w:eastAsia="zh-CN"/>
        </w:rPr>
        <w:t>。</w:t>
      </w:r>
    </w:p>
    <w:p w14:paraId="74EDDD91">
      <w:pPr>
        <w:pStyle w:val="6"/>
        <w:spacing w:line="240" w:lineRule="auto"/>
        <w:ind w:firstLine="0" w:firstLineChars="0"/>
        <w:rPr>
          <w:rFonts w:hint="eastAsia" w:eastAsiaTheme="minorEastAsia"/>
          <w:color w:val="auto"/>
          <w:sz w:val="28"/>
          <w:szCs w:val="20"/>
          <w:lang w:eastAsia="zh-CN"/>
        </w:rPr>
      </w:pPr>
      <w:r>
        <w:rPr>
          <w:rFonts w:hint="eastAsia" w:eastAsiaTheme="minorEastAsia"/>
          <w:color w:val="auto"/>
          <w:sz w:val="28"/>
          <w:szCs w:val="20"/>
          <w:lang w:eastAsia="zh-CN"/>
        </w:rPr>
        <w:drawing>
          <wp:inline distT="0" distB="0" distL="114300" distR="114300">
            <wp:extent cx="5438775" cy="8890000"/>
            <wp:effectExtent l="0" t="0" r="9525" b="6350"/>
            <wp:docPr id="7" name="图片 7" descr="扫描全能王 2025-11-21 11.5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5-11-21 11.54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r>
        <w:rPr>
          <w:rFonts w:hint="eastAsia" w:eastAsiaTheme="minorEastAsia"/>
          <w:color w:val="auto"/>
          <w:sz w:val="28"/>
          <w:szCs w:val="20"/>
          <w:lang w:eastAsia="zh-CN"/>
        </w:rPr>
        <w:drawing>
          <wp:inline distT="0" distB="0" distL="114300" distR="114300">
            <wp:extent cx="5598795" cy="8879205"/>
            <wp:effectExtent l="0" t="0" r="1905" b="17145"/>
            <wp:docPr id="6" name="图片 6" descr="扫描全能王 2025-11-21 11.5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5-11-21 11.54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87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yN2NlOGVhYmMyMmY2ZjU2NWRlMjUwNzMzOGE0MTYifQ=="/>
  </w:docVars>
  <w:rsids>
    <w:rsidRoot w:val="35CC29B8"/>
    <w:rsid w:val="000B1CB3"/>
    <w:rsid w:val="00111901"/>
    <w:rsid w:val="005248C1"/>
    <w:rsid w:val="00616DBD"/>
    <w:rsid w:val="00AD5E97"/>
    <w:rsid w:val="00B64575"/>
    <w:rsid w:val="02E561BC"/>
    <w:rsid w:val="03B21DD7"/>
    <w:rsid w:val="03CC63D7"/>
    <w:rsid w:val="05616C04"/>
    <w:rsid w:val="09D5345C"/>
    <w:rsid w:val="0A27015B"/>
    <w:rsid w:val="0A275E0E"/>
    <w:rsid w:val="0BD51C61"/>
    <w:rsid w:val="0D0B1052"/>
    <w:rsid w:val="0EC853E9"/>
    <w:rsid w:val="0EDC1223"/>
    <w:rsid w:val="13C277AD"/>
    <w:rsid w:val="13D12EE6"/>
    <w:rsid w:val="153C4810"/>
    <w:rsid w:val="16BC1C2B"/>
    <w:rsid w:val="1C0A6ED6"/>
    <w:rsid w:val="1E1E483E"/>
    <w:rsid w:val="22CB7136"/>
    <w:rsid w:val="284F788D"/>
    <w:rsid w:val="28E348A1"/>
    <w:rsid w:val="2A9D36CA"/>
    <w:rsid w:val="2E374561"/>
    <w:rsid w:val="2EB02BD7"/>
    <w:rsid w:val="2EC41433"/>
    <w:rsid w:val="315D76A2"/>
    <w:rsid w:val="32DB1C5F"/>
    <w:rsid w:val="335F1F61"/>
    <w:rsid w:val="354E2190"/>
    <w:rsid w:val="354E3BE7"/>
    <w:rsid w:val="355F439E"/>
    <w:rsid w:val="35CC29B8"/>
    <w:rsid w:val="37224F7B"/>
    <w:rsid w:val="3B343FFC"/>
    <w:rsid w:val="3BB85D78"/>
    <w:rsid w:val="420C1409"/>
    <w:rsid w:val="46BE3C6F"/>
    <w:rsid w:val="4706325F"/>
    <w:rsid w:val="48FE4AE5"/>
    <w:rsid w:val="4B7D0EF4"/>
    <w:rsid w:val="4CC05D01"/>
    <w:rsid w:val="510C73E4"/>
    <w:rsid w:val="537F016A"/>
    <w:rsid w:val="54F4335B"/>
    <w:rsid w:val="55D40D5D"/>
    <w:rsid w:val="563D798B"/>
    <w:rsid w:val="567C6788"/>
    <w:rsid w:val="56A7547E"/>
    <w:rsid w:val="579A241E"/>
    <w:rsid w:val="58081FD7"/>
    <w:rsid w:val="59D26E89"/>
    <w:rsid w:val="5A893A0E"/>
    <w:rsid w:val="5AB85F0C"/>
    <w:rsid w:val="5B242EC8"/>
    <w:rsid w:val="5E953707"/>
    <w:rsid w:val="60200DF5"/>
    <w:rsid w:val="65373F31"/>
    <w:rsid w:val="68772688"/>
    <w:rsid w:val="68F91E38"/>
    <w:rsid w:val="6AD40467"/>
    <w:rsid w:val="6BAD4EA1"/>
    <w:rsid w:val="6BF95CAB"/>
    <w:rsid w:val="6D0669CA"/>
    <w:rsid w:val="6F806003"/>
    <w:rsid w:val="717A11AE"/>
    <w:rsid w:val="72127AC6"/>
    <w:rsid w:val="72FD2CFB"/>
    <w:rsid w:val="73C95CFD"/>
    <w:rsid w:val="74004819"/>
    <w:rsid w:val="74F77EEF"/>
    <w:rsid w:val="7772596D"/>
    <w:rsid w:val="7AB02F22"/>
    <w:rsid w:val="7EA9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spacing w:line="560" w:lineRule="exact"/>
      <w:ind w:firstLine="200"/>
      <w:jc w:val="center"/>
      <w:outlineLvl w:val="1"/>
    </w:pPr>
    <w:rPr>
      <w:rFonts w:eastAsia="楷体_GB2312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4">
    <w:name w:val="Normal Indent"/>
    <w:basedOn w:val="1"/>
    <w:qFormat/>
    <w:uiPriority w:val="99"/>
    <w:pPr>
      <w:ind w:firstLine="420"/>
    </w:p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"/>
    <w:basedOn w:val="1"/>
    <w:qFormat/>
    <w:uiPriority w:val="99"/>
    <w:pPr>
      <w:widowControl/>
      <w:spacing w:line="520" w:lineRule="exact"/>
      <w:ind w:firstLine="200" w:firstLineChars="200"/>
      <w:textAlignment w:val="baseline"/>
    </w:pPr>
    <w:rPr>
      <w:rFonts w:ascii="宋体" w:hAnsi="宋体"/>
      <w:color w:val="000000"/>
      <w:spacing w:val="10"/>
      <w:kern w:val="0"/>
      <w:sz w:val="24"/>
      <w:u w:color="000000"/>
    </w:r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Plain Text"/>
    <w:basedOn w:val="1"/>
    <w:unhideWhenUsed/>
    <w:qFormat/>
    <w:uiPriority w:val="99"/>
    <w:rPr>
      <w:rFonts w:ascii="宋体" w:hAnsi="Courier New"/>
      <w:kern w:val="0"/>
      <w:sz w:val="20"/>
      <w:szCs w:val="20"/>
    </w:rPr>
  </w:style>
  <w:style w:type="paragraph" w:styleId="9">
    <w:name w:val="Body Text First Indent"/>
    <w:basedOn w:val="6"/>
    <w:next w:val="1"/>
    <w:qFormat/>
    <w:uiPriority w:val="0"/>
    <w:pPr>
      <w:ind w:firstLine="420" w:firstLineChars="100"/>
    </w:pPr>
    <w:rPr>
      <w:b/>
      <w:u w:val="single"/>
    </w:rPr>
  </w:style>
  <w:style w:type="paragraph" w:styleId="10">
    <w:name w:val="Body Text First Indent 2"/>
    <w:basedOn w:val="7"/>
    <w:next w:val="1"/>
    <w:qFormat/>
    <w:uiPriority w:val="0"/>
    <w:pPr>
      <w:tabs>
        <w:tab w:val="left" w:pos="6120"/>
      </w:tabs>
      <w:spacing w:line="520" w:lineRule="exact"/>
      <w:ind w:left="0" w:leftChars="0"/>
    </w:pPr>
    <w:rPr>
      <w:rFonts w:ascii="黑体" w:hAnsi="黑体" w:eastAsia="黑体" w:cs="宋体"/>
      <w:sz w:val="28"/>
    </w:rPr>
  </w:style>
  <w:style w:type="paragraph" w:customStyle="1" w:styleId="13">
    <w:name w:val="111"/>
    <w:basedOn w:val="14"/>
    <w:qFormat/>
    <w:uiPriority w:val="0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题目"/>
    <w:basedOn w:val="1"/>
    <w:qFormat/>
    <w:uiPriority w:val="0"/>
    <w:pPr>
      <w:jc w:val="center"/>
      <w:outlineLvl w:val="0"/>
    </w:pPr>
    <w:rPr>
      <w:rFonts w:ascii="黑体" w:hAnsi="黑体" w:eastAsia="黑体"/>
      <w:sz w:val="32"/>
      <w:szCs w:val="32"/>
    </w:rPr>
  </w:style>
  <w:style w:type="paragraph" w:customStyle="1" w:styleId="15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eastAsia="en-US"/>
    </w:r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6评价正文"/>
    <w:qFormat/>
    <w:uiPriority w:val="0"/>
    <w:pPr>
      <w:spacing w:line="520" w:lineRule="exact"/>
      <w:ind w:firstLine="200" w:firstLineChars="200"/>
      <w:jc w:val="both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18">
    <w:name w:val="1评价标题"/>
    <w:qFormat/>
    <w:uiPriority w:val="0"/>
    <w:pPr>
      <w:pageBreakBefore/>
      <w:spacing w:before="100" w:beforeLines="100" w:after="100" w:afterLines="100" w:line="520" w:lineRule="exact"/>
      <w:jc w:val="center"/>
      <w:outlineLvl w:val="0"/>
    </w:pPr>
    <w:rPr>
      <w:rFonts w:ascii="Times New Roman" w:hAnsi="Times New Roman" w:eastAsia="黑体" w:cs="Times New Roman"/>
      <w:kern w:val="2"/>
      <w:sz w:val="32"/>
      <w:szCs w:val="21"/>
      <w:lang w:val="en-US" w:eastAsia="zh-CN" w:bidi="ar-SA"/>
    </w:rPr>
  </w:style>
  <w:style w:type="paragraph" w:customStyle="1" w:styleId="19">
    <w:name w:val="5标题评价表格"/>
    <w:qFormat/>
    <w:uiPriority w:val="0"/>
    <w:pPr>
      <w:spacing w:line="520" w:lineRule="exact"/>
      <w:jc w:val="center"/>
      <w:outlineLvl w:val="4"/>
    </w:pPr>
    <w:rPr>
      <w:rFonts w:ascii="Times New Roman" w:hAnsi="Times New Roman" w:eastAsia="黑体" w:cs="Times New Roman"/>
      <w:kern w:val="2"/>
      <w:sz w:val="24"/>
      <w:szCs w:val="28"/>
      <w:u w:color="000000"/>
      <w:lang w:val="en-US" w:eastAsia="zh-CN" w:bidi="ar-SA"/>
    </w:rPr>
  </w:style>
  <w:style w:type="paragraph" w:customStyle="1" w:styleId="20">
    <w:name w:val="5内容评价表格"/>
    <w:qFormat/>
    <w:uiPriority w:val="0"/>
    <w:pPr>
      <w:spacing w:line="300" w:lineRule="exact"/>
      <w:jc w:val="center"/>
    </w:pPr>
    <w:rPr>
      <w:rFonts w:ascii="Times New Roman" w:hAnsi="Times New Roman" w:eastAsia="宋体" w:cs="Times New Roman"/>
      <w:kern w:val="2"/>
      <w:sz w:val="21"/>
      <w:szCs w:val="21"/>
      <w:u w:color="000000"/>
      <w:lang w:val="en-US" w:eastAsia="zh-CN" w:bidi="ar-SA"/>
    </w:rPr>
  </w:style>
  <w:style w:type="paragraph" w:customStyle="1" w:styleId="21">
    <w:name w:val="7评价备注"/>
    <w:qFormat/>
    <w:uiPriority w:val="0"/>
    <w:pPr>
      <w:spacing w:line="400" w:lineRule="exact"/>
      <w:ind w:firstLine="200" w:firstLineChars="200"/>
    </w:pPr>
    <w:rPr>
      <w:rFonts w:ascii="Times New Roman" w:hAnsi="Times New Roman" w:eastAsia="黑体" w:cs="Times New Roman"/>
      <w:spacing w:val="4"/>
      <w:kern w:val="2"/>
      <w:sz w:val="21"/>
      <w:szCs w:val="24"/>
      <w:lang w:val="en-US" w:eastAsia="zh-CN" w:bidi="ar-SA"/>
    </w:rPr>
  </w:style>
  <w:style w:type="paragraph" w:customStyle="1" w:styleId="22">
    <w:name w:val="3评价标题"/>
    <w:qFormat/>
    <w:uiPriority w:val="0"/>
    <w:pPr>
      <w:spacing w:line="520" w:lineRule="exact"/>
      <w:ind w:firstLine="200" w:firstLineChars="200"/>
      <w:outlineLvl w:val="2"/>
    </w:pPr>
    <w:rPr>
      <w:rFonts w:ascii="Times New Roman" w:hAnsi="Times New Roman" w:eastAsia="黑体" w:cs="Times New Roman"/>
      <w:sz w:val="28"/>
      <w:u w:color="000000"/>
      <w:lang w:val="en-US" w:eastAsia="zh-CN" w:bidi="ar-SA"/>
    </w:rPr>
  </w:style>
  <w:style w:type="paragraph" w:customStyle="1" w:styleId="23">
    <w:name w:val="表内文字"/>
    <w:basedOn w:val="8"/>
    <w:qFormat/>
    <w:uiPriority w:val="0"/>
    <w:pPr>
      <w:spacing w:line="320" w:lineRule="exact"/>
      <w:jc w:val="center"/>
    </w:pPr>
    <w:rPr>
      <w:rFonts w:ascii="Times New Roman" w:hAnsi="Times New Roman"/>
      <w:kern w:val="2"/>
      <w:sz w:val="21"/>
      <w:szCs w:val="21"/>
      <w:u w:color="000000"/>
    </w:rPr>
  </w:style>
  <w:style w:type="paragraph" w:customStyle="1" w:styleId="24">
    <w:name w:val="6表格标题"/>
    <w:basedOn w:val="25"/>
    <w:qFormat/>
    <w:uiPriority w:val="0"/>
    <w:pPr>
      <w:widowControl/>
      <w:spacing w:line="520" w:lineRule="exact"/>
      <w:jc w:val="center"/>
      <w:outlineLvl w:val="4"/>
    </w:pPr>
    <w:rPr>
      <w:color w:val="FF0000"/>
    </w:rPr>
  </w:style>
  <w:style w:type="paragraph" w:customStyle="1" w:styleId="25">
    <w:name w:val="评价表格标题"/>
    <w:qFormat/>
    <w:uiPriority w:val="99"/>
    <w:pPr>
      <w:spacing w:line="400" w:lineRule="exact"/>
      <w:jc w:val="center"/>
    </w:pPr>
    <w:rPr>
      <w:rFonts w:ascii="Times New Roman" w:hAnsi="Times New Roman" w:eastAsia="黑体" w:cs="Times New Roman"/>
      <w:color w:val="000000"/>
      <w:sz w:val="24"/>
      <w:szCs w:val="24"/>
      <w:lang w:val="en-US" w:eastAsia="zh-CN" w:bidi="ar-SA"/>
    </w:rPr>
  </w:style>
  <w:style w:type="paragraph" w:customStyle="1" w:styleId="26">
    <w:name w:val="正文1"/>
    <w:basedOn w:val="1"/>
    <w:uiPriority w:val="0"/>
    <w:pPr>
      <w:snapToGrid w:val="0"/>
      <w:spacing w:line="360" w:lineRule="exact"/>
      <w:jc w:val="center"/>
    </w:pPr>
    <w:rPr>
      <w:snapToGrid w:val="0"/>
      <w:kern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1549</Words>
  <Characters>1771</Characters>
  <Lines>25</Lines>
  <Paragraphs>7</Paragraphs>
  <TotalTime>0</TotalTime>
  <ScaleCrop>false</ScaleCrop>
  <LinksUpToDate>false</LinksUpToDate>
  <CharactersWithSpaces>1806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2023-09-27T02:48:00Z</dcterms:created>
  <dc:creator>天舞</dc:creator>
  <cp:lastModifiedBy>Administrator</cp:lastModifiedBy>
  <dcterms:modified xsi:type="dcterms:W3CDTF">2025-11-21T03:56:20Z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158E41C4130D45F7BB2A42425FB8946B_11</vt:lpwstr>
  </property>
  <property fmtid="{D5CDD505-2E9C-101B-9397-08002B2CF9AE}" pid="4" name="KSOTemplateDocerSaveRecord">
    <vt:lpwstr>eyJoZGlkIjoiZDAyN2NlOGVhYmMyMmY2ZjU2NWRlMjUwNzMzOGE0MTYiLCJ1c2VySWQiOiIxNTA4ODg5MTM0In0=</vt:lpwstr>
  </property>
</Properties>
</file>