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江西高速石化有限责任公司莆炎高速泰和北服务区南加油站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w:t>
            </w:r>
            <w:bookmarkStart w:id="0" w:name="_GoBack"/>
            <w:bookmarkEnd w:id="0"/>
            <w:r>
              <w:rPr>
                <w:rFonts w:hint="eastAsia" w:ascii="宋体" w:hAnsi="宋体" w:cs="宋体"/>
                <w:sz w:val="24"/>
              </w:rPr>
              <w:t>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2025年10月10日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谢雨飞</w:t>
            </w:r>
            <w:r>
              <w:rPr>
                <w:rFonts w:hint="eastAsia" w:ascii="Times New Roman" w:hAnsi="Times New Roman"/>
                <w:sz w:val="24"/>
              </w:rPr>
              <w:t>2025年10月1</w:t>
            </w:r>
            <w:r>
              <w:rPr>
                <w:rFonts w:hint="eastAsia" w:ascii="Times New Roman" w:hAnsi="Times New Roman"/>
                <w:sz w:val="24"/>
                <w:lang w:val="en-US" w:eastAsia="zh-CN"/>
              </w:rPr>
              <w:t>3</w:t>
            </w:r>
            <w:r>
              <w:rPr>
                <w:rFonts w:hint="eastAsia" w:ascii="Times New Roman" w:hAnsi="Times New Roman"/>
                <w:sz w:val="24"/>
              </w:rPr>
              <w:t>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A81DD43">
            <w:pPr>
              <w:spacing w:line="240" w:lineRule="auto"/>
              <w:ind w:firstLine="560"/>
              <w:rPr>
                <w:rFonts w:hint="eastAsia"/>
              </w:rPr>
            </w:pPr>
            <w:r>
              <w:rPr>
                <w:rFonts w:hint="eastAsia"/>
                <w:lang w:val="en-US" w:eastAsia="zh-CN"/>
              </w:rPr>
              <w:t>江</w:t>
            </w:r>
            <w:r>
              <w:rPr>
                <w:rFonts w:hint="eastAsia"/>
              </w:rPr>
              <w:t>西高速石化有限责任公司莆炎高速泰和北服务区南加油站是一家从事成品油零售经营的企业。该加油站成立于2023年04月06日，经泰和县市场监督管理局核准注册成立，营业场所位于江西省吉安市泰和县莆炎高速泰和北服务区南区。该加油站属于其它有限责任公司分公司，负责人为陈志斌，营业执照统一社会信用代码为：91360826MACF8UCB4G。营业执照核准经营范围：许可项目：许可项目：成品油零售(不含危险化学品)(依法须经批准的项目经相关部门批准后在许可有效期内方可开展经营活动，具体经营项目和许可期限以相关部门批准文件或许可证件为准)一般项目:石油制品销售(不含危险化学品)，润滑油销售(除依法须经批准的项目外，凭营业执照依法自主开展经营活动)。</w:t>
            </w:r>
          </w:p>
          <w:p w14:paraId="23694FCC">
            <w:pPr>
              <w:spacing w:line="240" w:lineRule="auto"/>
              <w:ind w:firstLine="560"/>
              <w:rPr>
                <w:rFonts w:hint="eastAsia"/>
              </w:rPr>
            </w:pPr>
            <w:r>
              <w:rPr>
                <w:rFonts w:hint="eastAsia"/>
              </w:rPr>
              <w:t>江西高速石化有限责任公司莆炎高速泰和北服务区南加油站设有1台0#柴油/0#柴油/92#汽油/95#汽油潜油泵型四枪加油机，2台92#汽油/92#汽油/95#汽油/95#汽油潜油泵型四枪加油机，1处车用车用尿素溶液加注一体机（防爆型，1.0m³）；设有2台SF双层50m³埋地卧式0#柴油罐、2台SF双层50m³埋地卧式92#汽油储罐，1台SF双层50m³埋地卧式95#汽油储罐，总罐容为250m³，折合油罐容积为200m³（柴油罐容积折半计入油罐总容积），属一级加油站，汽油卸油、加油设置了油气回收系统。</w:t>
            </w:r>
          </w:p>
          <w:p w14:paraId="722CF8AD">
            <w:pPr>
              <w:spacing w:line="240" w:lineRule="auto"/>
              <w:ind w:firstLine="560"/>
              <w:rPr>
                <w:rFonts w:hint="eastAsia"/>
              </w:rPr>
            </w:pPr>
            <w:r>
              <w:rPr>
                <w:rFonts w:hint="eastAsia"/>
              </w:rPr>
              <w:t>江西高速石化有限责任公司莆炎高速泰和北服务区南加油站于2023年11月8日经吉安市应急管理局核准，取得了《危险化学品经营许可证》，证书编号：赣吉危化经字[2023]360800000014，许可经营范围：汽油、柴油。有效期2022年11月5日至2025年11月4日。</w:t>
            </w:r>
          </w:p>
          <w:p w14:paraId="422E1AD2">
            <w:pPr>
              <w:spacing w:line="240" w:lineRule="auto"/>
              <w:ind w:firstLine="560"/>
              <w:rPr>
                <w:rFonts w:hint="eastAsia"/>
                <w:snapToGrid w:val="0"/>
              </w:rPr>
            </w:pPr>
            <w:r>
              <w:rPr>
                <w:rFonts w:hint="eastAsia"/>
              </w:rPr>
              <w:t>江西高速石化有限责任公司莆炎高速泰和北服务区南加油站2023年12月27日经吉安市商务局核准，取得了《成品油零售经营批准证书》，证书编号：油零售证书第吉0326号，批准从事成品油（汽油、柴油）零售业务。证书有效期2023年12月27日至2028年12月26日。</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4A5D204">
            <w:pPr>
              <w:ind w:firstLine="560"/>
              <w:rPr>
                <w:color w:val="auto"/>
              </w:rPr>
            </w:pPr>
            <w:r>
              <w:rPr>
                <w:color w:val="auto"/>
              </w:rPr>
              <w:t>1</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color w:val="auto"/>
              </w:rPr>
              <w:t>2</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2.7.1-1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8" name="图片 8" descr="6e5248612d75a54b79edfede1401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e5248612d75a54b79edfede1401c1b"/>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14:paraId="1FF25FBA">
      <w:pPr>
        <w:rPr>
          <w:rFonts w:hint="eastAsia"/>
          <w:lang w:eastAsia="zh-CN"/>
        </w:rPr>
      </w:pPr>
    </w:p>
    <w:p w14:paraId="7F3E3485">
      <w:pPr>
        <w:rPr>
          <w:rFonts w:hint="eastAsia"/>
          <w:lang w:eastAsia="zh-CN"/>
        </w:rPr>
      </w:pPr>
      <w:r>
        <w:rPr>
          <w:rFonts w:hint="eastAsia"/>
          <w:lang w:eastAsia="zh-CN"/>
        </w:rPr>
        <w:drawing>
          <wp:inline distT="0" distB="0" distL="114300" distR="114300">
            <wp:extent cx="5264785" cy="3947160"/>
            <wp:effectExtent l="0" t="0" r="12065" b="15240"/>
            <wp:docPr id="9" name="图片 9" descr="c66e03186326ee769ef450917a67958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6e03186326ee769ef450917a67958a_"/>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5361940" cy="7555865"/>
                    </a:xfrm>
                    <a:prstGeom prst="rect">
                      <a:avLst/>
                    </a:prstGeom>
                    <a:noFill/>
                    <a:ln>
                      <a:noFill/>
                    </a:ln>
                  </pic:spPr>
                </pic:pic>
              </a:graphicData>
            </a:graphic>
          </wp:inline>
        </w:drawing>
      </w:r>
      <w:r>
        <w:rPr>
          <w:rFonts w:hint="eastAsia" w:eastAsia="宋体"/>
          <w:lang w:eastAsia="zh-CN"/>
        </w:rPr>
        <w:drawing>
          <wp:inline distT="0" distB="0" distL="114300" distR="114300">
            <wp:extent cx="5266690" cy="7023735"/>
            <wp:effectExtent l="0" t="0" r="10160" b="5715"/>
            <wp:docPr id="6" name="图片 6" descr="c1e6b48acc7e889a0ed5dbedfeb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1e6b48acc7e889a0ed5dbedfeb4f15"/>
                    <pic:cNvPicPr>
                      <a:picLocks noChangeAspect="1"/>
                    </pic:cNvPicPr>
                  </pic:nvPicPr>
                  <pic:blipFill>
                    <a:blip r:embed="rId13"/>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10" name="图片 10" descr="752e45ae5fcaf9440d6a6918d378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2e45ae5fcaf9440d6a6918d378e04"/>
                    <pic:cNvPicPr>
                      <a:picLocks noChangeAspect="1"/>
                    </pic:cNvPicPr>
                  </pic:nvPicPr>
                  <pic:blipFill>
                    <a:blip r:embed="rId14"/>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7960" cy="7266305"/>
            <wp:effectExtent l="0" t="0" r="8890" b="10795"/>
            <wp:docPr id="11" name="图片 11" descr="6b458ff624c9df7c14e25d816437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458ff624c9df7c14e25d8164372ec"/>
                    <pic:cNvPicPr>
                      <a:picLocks noChangeAspect="1"/>
                    </pic:cNvPicPr>
                  </pic:nvPicPr>
                  <pic:blipFill>
                    <a:blip r:embed="rId15"/>
                    <a:stretch>
                      <a:fillRect/>
                    </a:stretch>
                  </pic:blipFill>
                  <pic:spPr>
                    <a:xfrm>
                      <a:off x="0" y="0"/>
                      <a:ext cx="5267960" cy="726630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59C709C"/>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1963C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7D3A87"/>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1390</Words>
  <Characters>1638</Characters>
  <Lines>8</Lines>
  <Paragraphs>2</Paragraphs>
  <TotalTime>1</TotalTime>
  <ScaleCrop>false</ScaleCrop>
  <LinksUpToDate>false</LinksUpToDate>
  <CharactersWithSpaces>1655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2025-11-19T08:14:19Z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E74255DC230447E3A1A4B3F1B5DA653E_13</vt:lpwstr>
  </property>
  <property fmtid="{D5CDD505-2E9C-101B-9397-08002B2CF9AE}" pid="4" name="KSOTemplateDocerSaveRecord">
    <vt:lpwstr>eyJoZGlkIjoiNDgzMjdiZTZhYWEwMDUyMzMwMzdhZWM2ZmNjMGMzMDkiLCJ1c2VySWQiOiI1NzcyNjAwMzgifQ==</vt:lpwstr>
  </property>
</Properties>
</file>