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34740">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588"/>
        <w:gridCol w:w="952"/>
        <w:gridCol w:w="5574"/>
        <w:gridCol w:w="2115"/>
      </w:tblGrid>
      <w:tr w14:paraId="7650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tcBorders>
              <w:tl2br w:val="nil"/>
              <w:tr2bl w:val="nil"/>
            </w:tcBorders>
            <w:shd w:val="clear" w:color="auto" w:fill="FFFFFF"/>
            <w:vAlign w:val="center"/>
          </w:tcPr>
          <w:p w14:paraId="182FB0BF">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641" w:type="dxa"/>
            <w:gridSpan w:val="3"/>
            <w:tcBorders>
              <w:tl2br w:val="nil"/>
              <w:tr2bl w:val="nil"/>
            </w:tcBorders>
            <w:shd w:val="clear" w:color="auto" w:fill="FFFFFF"/>
            <w:vAlign w:val="center"/>
          </w:tcPr>
          <w:p w14:paraId="61A650FF">
            <w:pPr>
              <w:widowControl/>
              <w:spacing w:after="150"/>
              <w:jc w:val="center"/>
              <w:rPr>
                <w:rFonts w:ascii="宋体" w:hAnsi="宋体" w:cs="宋体"/>
                <w:sz w:val="24"/>
              </w:rPr>
            </w:pPr>
            <w:r>
              <w:rPr>
                <w:rFonts w:hint="eastAsia" w:ascii="宋体" w:hAnsi="宋体" w:eastAsia="宋体" w:cs="宋体"/>
                <w:kern w:val="0"/>
                <w:sz w:val="24"/>
                <w:shd w:val="clear" w:color="auto" w:fill="FFFFFF"/>
                <w:lang w:eastAsia="zh-CN"/>
              </w:rPr>
              <w:t>赣州腾远钴业新材料股份有限公司赣州腾远钴业年产5000吨电钴产品技术改造升级项目安全验收评价报告</w:t>
            </w:r>
          </w:p>
        </w:tc>
      </w:tr>
      <w:tr w14:paraId="5426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tcBorders>
              <w:tl2br w:val="nil"/>
              <w:tr2bl w:val="nil"/>
            </w:tcBorders>
            <w:shd w:val="clear" w:color="auto" w:fill="FFFFFF"/>
            <w:vAlign w:val="center"/>
          </w:tcPr>
          <w:p w14:paraId="232A0674">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641" w:type="dxa"/>
            <w:gridSpan w:val="3"/>
            <w:tcBorders>
              <w:tl2br w:val="nil"/>
              <w:tr2bl w:val="nil"/>
            </w:tcBorders>
            <w:shd w:val="clear" w:color="auto" w:fill="FFFFFF"/>
            <w:vAlign w:val="center"/>
          </w:tcPr>
          <w:p w14:paraId="0D6A2948">
            <w:pPr>
              <w:widowControl/>
              <w:spacing w:after="150"/>
              <w:jc w:val="center"/>
              <w:rPr>
                <w:rFonts w:hint="default" w:ascii="宋体" w:hAnsi="宋体" w:eastAsia="宋体" w:cs="宋体"/>
                <w:sz w:val="24"/>
                <w:lang w:val="en-US" w:eastAsia="zh-CN"/>
              </w:rPr>
            </w:pPr>
            <w:r>
              <w:rPr>
                <w:rFonts w:hint="eastAsia" w:ascii="宋体" w:hAnsi="宋体" w:cs="宋体"/>
                <w:sz w:val="24"/>
              </w:rPr>
              <w:t>202</w:t>
            </w:r>
            <w:r>
              <w:rPr>
                <w:rFonts w:hint="eastAsia" w:ascii="宋体" w:hAnsi="宋体" w:cs="宋体"/>
                <w:sz w:val="24"/>
                <w:lang w:val="en-US" w:eastAsia="zh-CN"/>
              </w:rPr>
              <w:t>5</w:t>
            </w:r>
            <w:r>
              <w:rPr>
                <w:rFonts w:hint="eastAsia" w:ascii="宋体" w:hAnsi="宋体" w:cs="宋体"/>
                <w:sz w:val="24"/>
              </w:rPr>
              <w:t>年</w:t>
            </w:r>
            <w:r>
              <w:rPr>
                <w:rFonts w:hint="eastAsia" w:ascii="宋体" w:hAnsi="宋体" w:cs="宋体"/>
                <w:sz w:val="24"/>
                <w:lang w:val="en-US" w:eastAsia="zh-CN"/>
              </w:rPr>
              <w:t>10</w:t>
            </w:r>
            <w:r>
              <w:rPr>
                <w:rFonts w:hint="eastAsia" w:ascii="宋体" w:hAnsi="宋体" w:cs="宋体"/>
                <w:sz w:val="24"/>
              </w:rPr>
              <w:t>月</w:t>
            </w:r>
          </w:p>
        </w:tc>
      </w:tr>
      <w:tr w14:paraId="2AD8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3EE647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316E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tcBorders>
              <w:tl2br w:val="nil"/>
              <w:tr2bl w:val="nil"/>
            </w:tcBorders>
            <w:shd w:val="clear" w:color="auto" w:fill="FFFFFF"/>
            <w:vAlign w:val="center"/>
          </w:tcPr>
          <w:p w14:paraId="10B93473">
            <w:pPr>
              <w:jc w:val="center"/>
              <w:rPr>
                <w:rFonts w:ascii="宋体" w:hAnsi="宋体" w:cs="宋体"/>
                <w:sz w:val="24"/>
              </w:rPr>
            </w:pPr>
          </w:p>
        </w:tc>
        <w:tc>
          <w:tcPr>
            <w:tcW w:w="952" w:type="dxa"/>
            <w:tcBorders>
              <w:tl2br w:val="nil"/>
              <w:tr2bl w:val="nil"/>
            </w:tcBorders>
            <w:shd w:val="clear" w:color="auto" w:fill="FFFFFF"/>
            <w:vAlign w:val="center"/>
          </w:tcPr>
          <w:p w14:paraId="476FDDF2">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5574" w:type="dxa"/>
            <w:tcBorders>
              <w:tl2br w:val="nil"/>
              <w:tr2bl w:val="nil"/>
            </w:tcBorders>
            <w:shd w:val="clear" w:color="auto" w:fill="FFFFFF"/>
            <w:vAlign w:val="center"/>
          </w:tcPr>
          <w:p w14:paraId="41DE2DD7">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48A34EEA">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29A8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588" w:type="dxa"/>
            <w:tcBorders>
              <w:tl2br w:val="nil"/>
              <w:tr2bl w:val="nil"/>
            </w:tcBorders>
            <w:shd w:val="clear" w:color="auto" w:fill="FFFFFF"/>
            <w:vAlign w:val="center"/>
          </w:tcPr>
          <w:p w14:paraId="1FB23008">
            <w:pPr>
              <w:jc w:val="center"/>
              <w:rPr>
                <w:rFonts w:ascii="宋体" w:hAnsi="宋体" w:cs="宋体"/>
                <w:sz w:val="24"/>
              </w:rPr>
            </w:pPr>
            <w:r>
              <w:rPr>
                <w:rFonts w:hint="eastAsia" w:ascii="宋体" w:hAnsi="宋体" w:cs="宋体"/>
                <w:sz w:val="24"/>
              </w:rPr>
              <w:t>项目负责人</w:t>
            </w:r>
          </w:p>
        </w:tc>
        <w:tc>
          <w:tcPr>
            <w:tcW w:w="952" w:type="dxa"/>
            <w:tcBorders>
              <w:tl2br w:val="nil"/>
              <w:tr2bl w:val="nil"/>
            </w:tcBorders>
            <w:shd w:val="clear" w:color="auto" w:fill="FFFFFF"/>
            <w:vAlign w:val="center"/>
          </w:tcPr>
          <w:p w14:paraId="56565DEB">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徐顺星</w:t>
            </w:r>
          </w:p>
        </w:tc>
        <w:tc>
          <w:tcPr>
            <w:tcW w:w="5574" w:type="dxa"/>
            <w:tcBorders>
              <w:tl2br w:val="nil"/>
              <w:tr2bl w:val="nil"/>
            </w:tcBorders>
            <w:shd w:val="clear" w:color="auto" w:fill="FFFFFF"/>
            <w:vAlign w:val="center"/>
          </w:tcPr>
          <w:p w14:paraId="74203271">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S011041000110192002229</w:t>
            </w:r>
          </w:p>
        </w:tc>
        <w:tc>
          <w:tcPr>
            <w:tcW w:w="2115" w:type="dxa"/>
            <w:tcBorders>
              <w:tl2br w:val="nil"/>
              <w:tr2bl w:val="nil"/>
            </w:tcBorders>
            <w:shd w:val="clear" w:color="auto" w:fill="FFFFFF"/>
            <w:vAlign w:val="center"/>
          </w:tcPr>
          <w:p w14:paraId="3EA9A323">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rPr>
              <w:t>018803</w:t>
            </w:r>
          </w:p>
        </w:tc>
      </w:tr>
      <w:tr w14:paraId="42A3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588" w:type="dxa"/>
            <w:vMerge w:val="restart"/>
            <w:tcBorders>
              <w:tl2br w:val="nil"/>
              <w:tr2bl w:val="nil"/>
            </w:tcBorders>
            <w:shd w:val="clear" w:color="auto" w:fill="FFFFFF"/>
            <w:vAlign w:val="center"/>
          </w:tcPr>
          <w:p w14:paraId="4A4D7CCA">
            <w:pPr>
              <w:jc w:val="center"/>
              <w:rPr>
                <w:rFonts w:ascii="宋体" w:hAnsi="宋体" w:cs="宋体"/>
                <w:sz w:val="24"/>
              </w:rPr>
            </w:pPr>
            <w:r>
              <w:rPr>
                <w:rFonts w:hint="eastAsia" w:ascii="宋体" w:hAnsi="宋体" w:cs="宋体"/>
                <w:sz w:val="24"/>
              </w:rPr>
              <w:t>项目组成员</w:t>
            </w:r>
          </w:p>
        </w:tc>
        <w:tc>
          <w:tcPr>
            <w:tcW w:w="952" w:type="dxa"/>
            <w:tcBorders>
              <w:tl2br w:val="nil"/>
              <w:tr2bl w:val="nil"/>
            </w:tcBorders>
            <w:shd w:val="clear" w:color="auto" w:fill="FFFFFF"/>
            <w:vAlign w:val="center"/>
          </w:tcPr>
          <w:p w14:paraId="2D36C39E">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乔贯德</w:t>
            </w:r>
          </w:p>
        </w:tc>
        <w:tc>
          <w:tcPr>
            <w:tcW w:w="5574" w:type="dxa"/>
            <w:tcBorders>
              <w:tl2br w:val="nil"/>
              <w:tr2bl w:val="nil"/>
            </w:tcBorders>
            <w:shd w:val="clear" w:color="auto" w:fill="FFFFFF"/>
            <w:vAlign w:val="center"/>
          </w:tcPr>
          <w:p w14:paraId="652AFC5A">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1700000000300087</w:t>
            </w:r>
          </w:p>
        </w:tc>
        <w:tc>
          <w:tcPr>
            <w:tcW w:w="2115" w:type="dxa"/>
            <w:tcBorders>
              <w:tl2br w:val="nil"/>
              <w:tr2bl w:val="nil"/>
            </w:tcBorders>
            <w:shd w:val="clear" w:color="auto" w:fill="FFFFFF"/>
            <w:vAlign w:val="center"/>
          </w:tcPr>
          <w:p w14:paraId="155B3950">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030797</w:t>
            </w:r>
          </w:p>
        </w:tc>
      </w:tr>
      <w:tr w14:paraId="594F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vMerge w:val="continue"/>
            <w:tcBorders>
              <w:tl2br w:val="nil"/>
              <w:tr2bl w:val="nil"/>
            </w:tcBorders>
            <w:shd w:val="clear" w:color="auto" w:fill="FFFFFF"/>
            <w:vAlign w:val="center"/>
          </w:tcPr>
          <w:p w14:paraId="1894849F">
            <w:pPr>
              <w:jc w:val="center"/>
              <w:rPr>
                <w:rFonts w:ascii="宋体" w:hAnsi="宋体" w:cs="宋体"/>
                <w:sz w:val="24"/>
              </w:rPr>
            </w:pPr>
          </w:p>
        </w:tc>
        <w:tc>
          <w:tcPr>
            <w:tcW w:w="952" w:type="dxa"/>
            <w:tcBorders>
              <w:tl2br w:val="nil"/>
              <w:tr2bl w:val="nil"/>
            </w:tcBorders>
            <w:shd w:val="clear" w:color="auto" w:fill="FFFFFF"/>
            <w:vAlign w:val="center"/>
          </w:tcPr>
          <w:p w14:paraId="4A9331A7">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舒斌</w:t>
            </w:r>
          </w:p>
        </w:tc>
        <w:tc>
          <w:tcPr>
            <w:tcW w:w="5574" w:type="dxa"/>
            <w:tcBorders>
              <w:tl2br w:val="nil"/>
              <w:tr2bl w:val="nil"/>
            </w:tcBorders>
            <w:shd w:val="clear" w:color="auto" w:fill="FFFFFF"/>
            <w:vAlign w:val="center"/>
          </w:tcPr>
          <w:p w14:paraId="3E4AF7D5">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0800000000205889</w:t>
            </w:r>
            <w:r>
              <w:rPr>
                <w:rFonts w:hint="eastAsia" w:ascii="宋体" w:hAnsi="宋体" w:eastAsia="宋体" w:cs="宋体"/>
                <w:sz w:val="24"/>
                <w:szCs w:val="24"/>
              </w:rPr>
              <w:t xml:space="preserve">  </w:t>
            </w:r>
            <w:bookmarkStart w:id="0" w:name="_GoBack"/>
            <w:bookmarkEnd w:id="0"/>
          </w:p>
        </w:tc>
        <w:tc>
          <w:tcPr>
            <w:tcW w:w="2115" w:type="dxa"/>
            <w:tcBorders>
              <w:tl2br w:val="nil"/>
              <w:tr2bl w:val="nil"/>
            </w:tcBorders>
            <w:shd w:val="clear" w:color="auto" w:fill="FFFFFF"/>
            <w:vAlign w:val="center"/>
          </w:tcPr>
          <w:p w14:paraId="097E9CF2">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013031</w:t>
            </w:r>
          </w:p>
        </w:tc>
      </w:tr>
      <w:tr w14:paraId="7518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dxa"/>
            <w:vMerge w:val="continue"/>
            <w:tcBorders>
              <w:tl2br w:val="nil"/>
              <w:tr2bl w:val="nil"/>
            </w:tcBorders>
            <w:shd w:val="clear" w:color="auto" w:fill="FFFFFF"/>
            <w:vAlign w:val="center"/>
          </w:tcPr>
          <w:p w14:paraId="218282FC">
            <w:pPr>
              <w:jc w:val="center"/>
              <w:rPr>
                <w:rFonts w:ascii="宋体" w:hAnsi="宋体" w:cs="宋体"/>
                <w:sz w:val="24"/>
              </w:rPr>
            </w:pPr>
          </w:p>
        </w:tc>
        <w:tc>
          <w:tcPr>
            <w:tcW w:w="952" w:type="dxa"/>
            <w:tcBorders>
              <w:tl2br w:val="nil"/>
              <w:tr2bl w:val="nil"/>
            </w:tcBorders>
            <w:shd w:val="clear" w:color="auto" w:fill="FFFFFF"/>
            <w:vAlign w:val="center"/>
          </w:tcPr>
          <w:p w14:paraId="07C8D395">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赵云峰</w:t>
            </w:r>
          </w:p>
        </w:tc>
        <w:tc>
          <w:tcPr>
            <w:tcW w:w="5574" w:type="dxa"/>
            <w:tcBorders>
              <w:tl2br w:val="nil"/>
              <w:tr2bl w:val="nil"/>
            </w:tcBorders>
            <w:shd w:val="clear" w:color="auto" w:fill="FFFFFF"/>
            <w:vAlign w:val="center"/>
          </w:tcPr>
          <w:p w14:paraId="1F79760F">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1600000000200809</w:t>
            </w:r>
          </w:p>
        </w:tc>
        <w:tc>
          <w:tcPr>
            <w:tcW w:w="2115" w:type="dxa"/>
            <w:tcBorders>
              <w:tl2br w:val="nil"/>
              <w:tr2bl w:val="nil"/>
            </w:tcBorders>
            <w:shd w:val="clear" w:color="auto" w:fill="FFFFFF"/>
            <w:vAlign w:val="center"/>
          </w:tcPr>
          <w:p w14:paraId="05E42F8E">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default" w:ascii="宋体" w:hAnsi="宋体" w:eastAsia="宋体" w:cs="宋体"/>
                <w:sz w:val="24"/>
                <w:szCs w:val="24"/>
                <w:lang w:val="en-US" w:eastAsia="zh-CN"/>
              </w:rPr>
              <w:t>030095</w:t>
            </w:r>
          </w:p>
        </w:tc>
      </w:tr>
      <w:tr w14:paraId="3B19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dxa"/>
            <w:vMerge w:val="continue"/>
            <w:tcBorders>
              <w:tl2br w:val="nil"/>
              <w:tr2bl w:val="nil"/>
            </w:tcBorders>
            <w:shd w:val="clear" w:color="auto" w:fill="FFFFFF"/>
            <w:vAlign w:val="center"/>
          </w:tcPr>
          <w:p w14:paraId="78FC19D6">
            <w:pPr>
              <w:jc w:val="center"/>
              <w:rPr>
                <w:rFonts w:ascii="宋体" w:hAnsi="宋体" w:cs="宋体"/>
                <w:sz w:val="24"/>
              </w:rPr>
            </w:pPr>
          </w:p>
        </w:tc>
        <w:tc>
          <w:tcPr>
            <w:tcW w:w="952" w:type="dxa"/>
            <w:tcBorders>
              <w:tl2br w:val="nil"/>
              <w:tr2bl w:val="nil"/>
            </w:tcBorders>
            <w:shd w:val="clear" w:color="auto" w:fill="FFFFFF"/>
            <w:vAlign w:val="center"/>
          </w:tcPr>
          <w:p w14:paraId="5313DC72">
            <w:pPr>
              <w:spacing w:before="156" w:beforeLines="50" w:after="156" w:afterLines="50" w:line="400" w:lineRule="exact"/>
              <w:ind w:firstLine="0" w:firstLineChars="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张晋慧</w:t>
            </w:r>
          </w:p>
        </w:tc>
        <w:tc>
          <w:tcPr>
            <w:tcW w:w="5574" w:type="dxa"/>
            <w:tcBorders>
              <w:tl2br w:val="nil"/>
              <w:tr2bl w:val="nil"/>
            </w:tcBorders>
            <w:shd w:val="clear" w:color="auto" w:fill="FFFFFF"/>
            <w:vAlign w:val="center"/>
          </w:tcPr>
          <w:p w14:paraId="0A94E59E">
            <w:pPr>
              <w:spacing w:before="156" w:beforeLines="50" w:after="156" w:afterLines="50" w:line="400" w:lineRule="exact"/>
              <w:ind w:firstLine="0" w:firstLineChars="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1100000000302946</w:t>
            </w:r>
            <w:r>
              <w:rPr>
                <w:rFonts w:hint="eastAsia" w:ascii="宋体" w:hAnsi="宋体" w:eastAsia="宋体" w:cs="宋体"/>
                <w:color w:val="auto"/>
                <w:kern w:val="2"/>
                <w:sz w:val="24"/>
                <w:szCs w:val="24"/>
                <w:lang w:val="en-US" w:eastAsia="zh-CN" w:bidi="ar-SA"/>
              </w:rPr>
              <w:tab/>
            </w:r>
          </w:p>
        </w:tc>
        <w:tc>
          <w:tcPr>
            <w:tcW w:w="2115" w:type="dxa"/>
            <w:tcBorders>
              <w:tl2br w:val="nil"/>
              <w:tr2bl w:val="nil"/>
            </w:tcBorders>
            <w:shd w:val="clear" w:color="auto" w:fill="FFFFFF"/>
            <w:vAlign w:val="center"/>
          </w:tcPr>
          <w:p w14:paraId="4DD07733">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020045</w:t>
            </w:r>
          </w:p>
        </w:tc>
      </w:tr>
      <w:tr w14:paraId="6D10D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vMerge w:val="continue"/>
            <w:tcBorders>
              <w:tl2br w:val="nil"/>
              <w:tr2bl w:val="nil"/>
            </w:tcBorders>
            <w:shd w:val="clear" w:color="auto" w:fill="FFFFFF"/>
            <w:vAlign w:val="center"/>
          </w:tcPr>
          <w:p w14:paraId="63B7C362">
            <w:pPr>
              <w:jc w:val="center"/>
              <w:rPr>
                <w:rFonts w:ascii="宋体" w:hAnsi="宋体" w:cs="宋体"/>
                <w:sz w:val="24"/>
              </w:rPr>
            </w:pPr>
          </w:p>
        </w:tc>
        <w:tc>
          <w:tcPr>
            <w:tcW w:w="952" w:type="dxa"/>
            <w:tcBorders>
              <w:tl2br w:val="nil"/>
              <w:tr2bl w:val="nil"/>
            </w:tcBorders>
            <w:shd w:val="clear" w:color="auto" w:fill="auto"/>
            <w:vAlign w:val="center"/>
          </w:tcPr>
          <w:p w14:paraId="2EB62A00">
            <w:pPr>
              <w:spacing w:before="156" w:beforeLines="50" w:after="156" w:afterLines="50" w:line="400" w:lineRule="exact"/>
              <w:ind w:firstLine="0" w:firstLineChars="0"/>
              <w:jc w:val="center"/>
              <w:rPr>
                <w:rFonts w:hint="default" w:ascii="Calibri" w:hAnsi="Calibri" w:eastAsia="宋体" w:cs="Times New Roman"/>
                <w:kern w:val="2"/>
                <w:sz w:val="24"/>
                <w:szCs w:val="24"/>
                <w:lang w:val="en-US" w:eastAsia="zh-CN" w:bidi="ar-SA"/>
              </w:rPr>
            </w:pPr>
            <w:r>
              <w:rPr>
                <w:rFonts w:hint="eastAsia" w:ascii="Calibri" w:hAnsi="Calibri" w:eastAsia="宋体" w:cs="Times New Roman"/>
                <w:sz w:val="24"/>
                <w:szCs w:val="24"/>
                <w:lang w:val="en-US" w:eastAsia="zh-CN"/>
              </w:rPr>
              <w:t>蓝家财</w:t>
            </w:r>
          </w:p>
        </w:tc>
        <w:tc>
          <w:tcPr>
            <w:tcW w:w="5574" w:type="dxa"/>
            <w:tcBorders>
              <w:tl2br w:val="nil"/>
              <w:tr2bl w:val="nil"/>
            </w:tcBorders>
            <w:shd w:val="clear" w:color="auto" w:fill="FFFFFF"/>
            <w:vAlign w:val="center"/>
          </w:tcPr>
          <w:p w14:paraId="5559F345">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宋体" w:hAnsi="宋体" w:eastAsia="宋体" w:cs="宋体"/>
                <w:color w:val="auto"/>
                <w:spacing w:val="0"/>
                <w:w w:val="100"/>
                <w:kern w:val="2"/>
                <w:position w:val="0"/>
                <w:sz w:val="24"/>
                <w:szCs w:val="24"/>
                <w:u w:val="none"/>
                <w:shd w:val="clear" w:color="auto" w:fill="auto"/>
                <w:lang w:val="en-US" w:eastAsia="zh-CN" w:bidi="zh-TW"/>
              </w:rPr>
            </w:pPr>
            <w:r>
              <w:rPr>
                <w:rFonts w:hint="default" w:ascii="宋体" w:hAnsi="宋体" w:eastAsia="宋体" w:cs="宋体"/>
                <w:color w:val="auto"/>
                <w:spacing w:val="0"/>
                <w:w w:val="100"/>
                <w:kern w:val="2"/>
                <w:position w:val="0"/>
                <w:sz w:val="24"/>
                <w:szCs w:val="24"/>
                <w:u w:val="none"/>
                <w:shd w:val="clear" w:color="auto" w:fill="auto"/>
                <w:lang w:val="en-US" w:eastAsia="zh-CN" w:bidi="zh-TW"/>
              </w:rPr>
              <w:t>CAWS530000230200862</w:t>
            </w:r>
          </w:p>
        </w:tc>
        <w:tc>
          <w:tcPr>
            <w:tcW w:w="2115" w:type="dxa"/>
            <w:tcBorders>
              <w:tl2br w:val="nil"/>
              <w:tr2bl w:val="nil"/>
            </w:tcBorders>
            <w:shd w:val="clear" w:color="auto" w:fill="FFFFFF"/>
            <w:vAlign w:val="center"/>
          </w:tcPr>
          <w:p w14:paraId="4946EFE4">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宋体" w:hAnsi="宋体" w:eastAsia="宋体" w:cs="宋体"/>
                <w:color w:val="auto"/>
                <w:spacing w:val="0"/>
                <w:w w:val="100"/>
                <w:kern w:val="2"/>
                <w:position w:val="0"/>
                <w:sz w:val="24"/>
                <w:szCs w:val="24"/>
                <w:u w:val="none"/>
                <w:shd w:val="clear" w:color="auto" w:fill="auto"/>
                <w:lang w:val="en-US" w:eastAsia="zh-CN" w:bidi="zh-TW"/>
              </w:rPr>
            </w:pPr>
            <w:r>
              <w:rPr>
                <w:rFonts w:hint="default" w:ascii="宋体" w:hAnsi="宋体" w:eastAsia="宋体" w:cs="宋体"/>
                <w:color w:val="auto"/>
                <w:spacing w:val="0"/>
                <w:w w:val="100"/>
                <w:kern w:val="2"/>
                <w:position w:val="0"/>
                <w:sz w:val="24"/>
                <w:szCs w:val="24"/>
                <w:u w:val="none"/>
                <w:shd w:val="clear" w:color="auto" w:fill="auto"/>
                <w:lang w:val="en-US" w:eastAsia="zh-CN" w:bidi="zh-TW"/>
              </w:rPr>
              <w:t>042916</w:t>
            </w:r>
          </w:p>
        </w:tc>
      </w:tr>
      <w:tr w14:paraId="1968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tcBorders>
              <w:tl2br w:val="nil"/>
              <w:tr2bl w:val="nil"/>
            </w:tcBorders>
            <w:shd w:val="clear" w:color="auto" w:fill="FFFFFF"/>
            <w:vAlign w:val="center"/>
          </w:tcPr>
          <w:p w14:paraId="1393FDAF">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641" w:type="dxa"/>
            <w:gridSpan w:val="3"/>
            <w:tcBorders>
              <w:tl2br w:val="nil"/>
              <w:tr2bl w:val="nil"/>
            </w:tcBorders>
            <w:shd w:val="clear" w:color="auto" w:fill="FFFFFF"/>
            <w:vAlign w:val="center"/>
          </w:tcPr>
          <w:p w14:paraId="06BC571F">
            <w:pPr>
              <w:jc w:val="center"/>
              <w:rPr>
                <w:rFonts w:ascii="宋体" w:hAnsi="宋体" w:cs="宋体"/>
                <w:sz w:val="24"/>
              </w:rPr>
            </w:pPr>
            <w:r>
              <w:rPr>
                <w:rFonts w:hint="eastAsia" w:ascii="宋体" w:hAnsi="宋体" w:cs="宋体"/>
                <w:sz w:val="24"/>
              </w:rPr>
              <w:t>/</w:t>
            </w:r>
          </w:p>
        </w:tc>
      </w:tr>
      <w:tr w14:paraId="4F7E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588" w:type="dxa"/>
            <w:tcBorders>
              <w:tl2br w:val="nil"/>
              <w:tr2bl w:val="nil"/>
            </w:tcBorders>
            <w:shd w:val="clear" w:color="auto" w:fill="FFFFFF"/>
            <w:vAlign w:val="center"/>
          </w:tcPr>
          <w:p w14:paraId="29ED6B3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641" w:type="dxa"/>
            <w:gridSpan w:val="3"/>
            <w:tcBorders>
              <w:tl2br w:val="nil"/>
              <w:tr2bl w:val="nil"/>
            </w:tcBorders>
            <w:shd w:val="clear" w:color="auto" w:fill="FFFFFF"/>
            <w:vAlign w:val="center"/>
          </w:tcPr>
          <w:p w14:paraId="0A9BD943">
            <w:pPr>
              <w:widowControl/>
              <w:spacing w:after="150"/>
              <w:jc w:val="center"/>
              <w:rPr>
                <w:rFonts w:hint="default" w:ascii="Times New Roman" w:hAnsi="Times New Roman" w:eastAsia="宋体"/>
                <w:sz w:val="24"/>
                <w:lang w:val="en-US" w:eastAsia="zh-CN"/>
              </w:rPr>
            </w:pPr>
            <w:r>
              <w:rPr>
                <w:rFonts w:hint="default" w:ascii="Times New Roman" w:hAnsi="Times New Roman" w:eastAsia="宋体" w:cs="Times New Roman"/>
                <w:sz w:val="24"/>
                <w:lang w:val="en-US" w:eastAsia="zh-CN"/>
              </w:rPr>
              <w:t>徐顺星</w:t>
            </w:r>
            <w:r>
              <w:rPr>
                <w:rFonts w:hint="eastAsia"/>
                <w:color w:val="000000"/>
                <w:sz w:val="24"/>
              </w:rPr>
              <w:t>、</w:t>
            </w:r>
            <w:r>
              <w:rPr>
                <w:rFonts w:hint="eastAsia" w:ascii="Calibri" w:hAnsi="Calibri" w:eastAsia="宋体" w:cs="Times New Roman"/>
                <w:sz w:val="24"/>
                <w:szCs w:val="24"/>
                <w:lang w:val="en-US" w:eastAsia="zh-CN"/>
              </w:rPr>
              <w:t>蓝家财</w:t>
            </w:r>
            <w:r>
              <w:rPr>
                <w:rFonts w:hint="eastAsia"/>
                <w:sz w:val="24"/>
              </w:rPr>
              <w:t xml:space="preserve"> </w:t>
            </w:r>
            <w:r>
              <w:rPr>
                <w:rFonts w:hint="eastAsia"/>
                <w:sz w:val="24"/>
                <w:lang w:val="en-US" w:eastAsia="zh-CN"/>
              </w:rPr>
              <w:t>2025年7月30日</w:t>
            </w:r>
          </w:p>
        </w:tc>
      </w:tr>
      <w:tr w14:paraId="0A65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588" w:type="dxa"/>
            <w:tcBorders>
              <w:tl2br w:val="nil"/>
              <w:tr2bl w:val="nil"/>
            </w:tcBorders>
            <w:shd w:val="clear" w:color="auto" w:fill="FFFFFF"/>
            <w:vAlign w:val="center"/>
          </w:tcPr>
          <w:p w14:paraId="716803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641" w:type="dxa"/>
            <w:gridSpan w:val="3"/>
            <w:tcBorders>
              <w:tl2br w:val="nil"/>
              <w:tr2bl w:val="nil"/>
            </w:tcBorders>
            <w:shd w:val="clear" w:color="auto" w:fill="FFFFFF"/>
            <w:vAlign w:val="center"/>
          </w:tcPr>
          <w:p w14:paraId="0C6652F1">
            <w:pPr>
              <w:widowControl/>
              <w:spacing w:after="150"/>
              <w:jc w:val="center"/>
              <w:rPr>
                <w:rFonts w:hint="default" w:ascii="Times New Roman" w:hAnsi="Times New Roman" w:eastAsia="宋体"/>
                <w:color w:val="FF0000"/>
                <w:sz w:val="24"/>
                <w:lang w:val="en-US" w:eastAsia="zh-CN"/>
              </w:rPr>
            </w:pPr>
            <w:r>
              <w:rPr>
                <w:rFonts w:hint="default" w:ascii="Times New Roman" w:hAnsi="Times New Roman" w:eastAsia="宋体" w:cs="Times New Roman"/>
                <w:sz w:val="24"/>
                <w:lang w:val="en-US" w:eastAsia="zh-CN"/>
              </w:rPr>
              <w:t>徐顺星</w:t>
            </w:r>
            <w:r>
              <w:rPr>
                <w:rFonts w:hint="eastAsia"/>
                <w:color w:val="000000"/>
                <w:sz w:val="24"/>
              </w:rPr>
              <w:t>、</w:t>
            </w:r>
            <w:r>
              <w:rPr>
                <w:rFonts w:hint="eastAsia" w:ascii="Calibri" w:hAnsi="Calibri" w:eastAsia="宋体" w:cs="Times New Roman"/>
                <w:sz w:val="24"/>
                <w:szCs w:val="24"/>
                <w:lang w:val="en-US" w:eastAsia="zh-CN"/>
              </w:rPr>
              <w:t>蓝家财</w:t>
            </w:r>
            <w:r>
              <w:rPr>
                <w:rFonts w:hint="eastAsia"/>
                <w:sz w:val="24"/>
              </w:rPr>
              <w:t xml:space="preserve"> </w:t>
            </w:r>
            <w:r>
              <w:rPr>
                <w:rFonts w:hint="eastAsia"/>
                <w:sz w:val="24"/>
                <w:lang w:val="en-US" w:eastAsia="zh-CN"/>
              </w:rPr>
              <w:t>2025年8月4日</w:t>
            </w:r>
          </w:p>
        </w:tc>
      </w:tr>
      <w:tr w14:paraId="7F3E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588" w:type="dxa"/>
            <w:tcBorders>
              <w:tl2br w:val="nil"/>
              <w:tr2bl w:val="nil"/>
            </w:tcBorders>
            <w:shd w:val="clear" w:color="auto" w:fill="FFFFFF"/>
            <w:vAlign w:val="center"/>
          </w:tcPr>
          <w:p w14:paraId="79FDD196">
            <w:pPr>
              <w:widowControl/>
              <w:spacing w:after="150"/>
              <w:jc w:val="center"/>
              <w:rPr>
                <w:rFonts w:ascii="宋体" w:hAnsi="宋体" w:cs="宋体"/>
                <w:sz w:val="24"/>
              </w:rPr>
            </w:pPr>
            <w:r>
              <w:rPr>
                <w:rFonts w:hint="eastAsia" w:ascii="宋体" w:hAnsi="宋体" w:cs="宋体"/>
                <w:color w:val="FF0000"/>
                <w:kern w:val="0"/>
                <w:sz w:val="24"/>
                <w:shd w:val="clear" w:color="auto" w:fill="FFFFFF"/>
              </w:rPr>
              <w:t>项目简介</w:t>
            </w:r>
          </w:p>
        </w:tc>
        <w:tc>
          <w:tcPr>
            <w:tcW w:w="8641" w:type="dxa"/>
            <w:gridSpan w:val="3"/>
            <w:tcBorders>
              <w:tl2br w:val="nil"/>
              <w:tr2bl w:val="nil"/>
            </w:tcBorders>
            <w:shd w:val="clear" w:color="auto" w:fill="FFFFFF"/>
          </w:tcPr>
          <w:p w14:paraId="3820E196">
            <w:pPr>
              <w:ind w:firstLine="480" w:firstLineChars="200"/>
              <w:rPr>
                <w:rFonts w:hint="eastAsia"/>
                <w:color w:val="auto"/>
                <w:sz w:val="24"/>
              </w:rPr>
            </w:pPr>
            <w:r>
              <w:rPr>
                <w:rFonts w:hint="eastAsia"/>
                <w:color w:val="auto"/>
                <w:sz w:val="24"/>
              </w:rPr>
              <w:t>赣州腾远钴业新材料股份有限公司是一家集科研、生产、贸易于一体的现代化股份制企业，主要从事钴、铜矿产品的冶炼与销售，公司位于赣县区稀金新材料产业园区化工集中区，已于2024年2月2日通过江西省工业和信息化厅等九部门联合的认定，属于符合要求的化工集中区。</w:t>
            </w:r>
            <w:r>
              <w:rPr>
                <w:rFonts w:hint="eastAsia"/>
                <w:color w:val="auto"/>
                <w:sz w:val="24"/>
                <w:lang w:val="en-US" w:eastAsia="zh-CN"/>
              </w:rPr>
              <w:t>该公司</w:t>
            </w:r>
            <w:r>
              <w:rPr>
                <w:rFonts w:hint="eastAsia"/>
                <w:color w:val="auto"/>
                <w:sz w:val="24"/>
              </w:rPr>
              <w:t>于2025年5月7日取得赣州市赣县区应急管理局的危险化学品建设项目试生产方案回执（危化项目备字［2025］001号），技改项目于2025年5月8日开始试生产，期限至2026年5月7日。</w:t>
            </w:r>
          </w:p>
          <w:p w14:paraId="2419431B">
            <w:pPr>
              <w:ind w:firstLine="480" w:firstLineChars="200"/>
              <w:rPr>
                <w:rFonts w:hint="eastAsia" w:eastAsia="宋体"/>
                <w:sz w:val="24"/>
                <w:lang w:eastAsia="zh-CN"/>
              </w:rPr>
            </w:pPr>
            <w:r>
              <w:rPr>
                <w:rFonts w:hint="eastAsia"/>
                <w:sz w:val="24"/>
              </w:rPr>
              <w:t>为检查项目的安全设施与主体工程是否“三同时”和在安全经营及安全管理方面是否符合国家及行业有关法律法规及标准，确保工程项目在安全生产及安全管理方面符合国家及行业有关法律法规及标准，</w:t>
            </w:r>
            <w:r>
              <w:rPr>
                <w:rFonts w:hint="eastAsia" w:ascii="宋体" w:hAnsi="宋体"/>
                <w:sz w:val="24"/>
              </w:rPr>
              <w:t>赣州腾远钴业新材料股份有限公司</w:t>
            </w:r>
            <w:r>
              <w:rPr>
                <w:rFonts w:hint="eastAsia"/>
                <w:sz w:val="24"/>
              </w:rPr>
              <w:t>委托</w:t>
            </w:r>
            <w:r>
              <w:rPr>
                <w:rFonts w:hint="eastAsia" w:ascii="宋体" w:hAnsi="宋体"/>
                <w:bCs/>
                <w:sz w:val="24"/>
              </w:rPr>
              <w:t>山东新安达工程咨询有限公司</w:t>
            </w:r>
            <w:r>
              <w:rPr>
                <w:rFonts w:hint="eastAsia"/>
                <w:sz w:val="24"/>
              </w:rPr>
              <w:t>承担</w:t>
            </w:r>
            <w:r>
              <w:rPr>
                <w:rFonts w:hint="eastAsia" w:ascii="宋体" w:hAnsi="宋体" w:cs="宋体"/>
                <w:sz w:val="24"/>
              </w:rPr>
              <w:t>赣州腾远钴业年产5000吨电钴产品技术改造升级项目</w:t>
            </w:r>
            <w:r>
              <w:rPr>
                <w:rFonts w:hint="eastAsia"/>
                <w:sz w:val="24"/>
              </w:rPr>
              <w:t>的安全验收评价</w:t>
            </w:r>
            <w:r>
              <w:rPr>
                <w:rFonts w:hint="eastAsia"/>
                <w:sz w:val="24"/>
                <w:lang w:eastAsia="zh-CN"/>
              </w:rPr>
              <w:t>。</w:t>
            </w:r>
          </w:p>
          <w:p w14:paraId="3DB82FC0">
            <w:pPr>
              <w:ind w:firstLine="480" w:firstLineChars="200"/>
              <w:rPr>
                <w:rFonts w:hint="default" w:eastAsia="宋体"/>
                <w:sz w:val="24"/>
                <w:lang w:val="en-US" w:eastAsia="zh-CN"/>
              </w:rPr>
            </w:pPr>
            <w:r>
              <w:rPr>
                <w:rFonts w:hint="default" w:eastAsia="宋体"/>
                <w:sz w:val="24"/>
                <w:lang w:val="en-US" w:eastAsia="zh-CN"/>
              </w:rPr>
              <w:t>本次安全评价的目的是针对赣州腾远钴业新材料股份有限公司赣州腾远钴业年产5000吨电钴产品技术改造升级项目进行安全验收评价，通过评价全面查找、分析和预测企业存在的危险、有害因素及危险、 危害程度，提出合理可行的安全对策措施，以达到安全生产的目的</w:t>
            </w:r>
            <w:r>
              <w:rPr>
                <w:rFonts w:hint="eastAsia"/>
                <w:sz w:val="24"/>
                <w:lang w:val="en-US" w:eastAsia="zh-CN"/>
              </w:rPr>
              <w:t>。</w:t>
            </w:r>
          </w:p>
        </w:tc>
      </w:tr>
      <w:tr w14:paraId="7E28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588" w:type="dxa"/>
            <w:tcBorders>
              <w:tl2br w:val="nil"/>
              <w:tr2bl w:val="nil"/>
            </w:tcBorders>
            <w:shd w:val="clear" w:color="auto" w:fill="FFFFFF"/>
            <w:vAlign w:val="center"/>
          </w:tcPr>
          <w:p w14:paraId="20115CC1">
            <w:pPr>
              <w:widowControl/>
              <w:spacing w:after="150"/>
              <w:jc w:val="center"/>
            </w:pPr>
            <w:r>
              <w:rPr>
                <w:rFonts w:hint="eastAsia"/>
                <w:color w:val="FF0000"/>
                <w:sz w:val="24"/>
              </w:rPr>
              <w:t>工艺流程</w:t>
            </w:r>
          </w:p>
        </w:tc>
        <w:tc>
          <w:tcPr>
            <w:tcW w:w="8641" w:type="dxa"/>
            <w:gridSpan w:val="3"/>
            <w:tcBorders>
              <w:tl2br w:val="nil"/>
              <w:tr2bl w:val="nil"/>
            </w:tcBorders>
            <w:shd w:val="clear" w:color="auto" w:fill="FFFFFF"/>
          </w:tcPr>
          <w:p w14:paraId="4FD47E76">
            <w:pPr>
              <w:spacing w:line="560" w:lineRule="exact"/>
              <w:ind w:firstLine="560"/>
              <w:rPr>
                <w:rFonts w:hAnsi="宋体" w:cs="宋体"/>
                <w:sz w:val="24"/>
                <w:lang w:val="zh-CN"/>
              </w:rPr>
            </w:pPr>
            <w:r>
              <w:rPr>
                <w:rFonts w:hAnsi="宋体" w:cs="宋体"/>
                <w:sz w:val="24"/>
              </w:rPr>
              <w:t>以本厂区内生产的纯净氯化钴溶液为原料，经电积液配制、电积、</w:t>
            </w:r>
            <w:r>
              <w:rPr>
                <w:rFonts w:hAnsi="宋体" w:cs="宋体"/>
                <w:sz w:val="24"/>
                <w:lang w:val="zh-CN"/>
              </w:rPr>
              <w:t>清洗、剪切包装、</w:t>
            </w:r>
            <w:r>
              <w:rPr>
                <w:rFonts w:hAnsi="宋体" w:cs="宋体"/>
                <w:sz w:val="24"/>
              </w:rPr>
              <w:t>阴极板处理、</w:t>
            </w:r>
            <w:r>
              <w:rPr>
                <w:rFonts w:hAnsi="宋体" w:cs="宋体"/>
                <w:sz w:val="24"/>
                <w:lang w:val="zh-CN"/>
              </w:rPr>
              <w:t>生产次氯酸钠</w:t>
            </w:r>
            <w:r>
              <w:rPr>
                <w:rFonts w:hAnsi="宋体" w:cs="宋体"/>
                <w:sz w:val="24"/>
              </w:rPr>
              <w:t>等工序生产电积钴、副产</w:t>
            </w:r>
            <w:r>
              <w:rPr>
                <w:rFonts w:hAnsi="宋体" w:cs="宋体"/>
                <w:sz w:val="24"/>
                <w:lang w:val="zh-CN"/>
              </w:rPr>
              <w:t>次氯酸钠。</w:t>
            </w:r>
          </w:p>
          <w:p w14:paraId="7A7DC816">
            <w:pPr>
              <w:spacing w:line="560" w:lineRule="exact"/>
              <w:ind w:firstLine="560"/>
              <w:rPr>
                <w:rFonts w:hAnsi="宋体"/>
                <w:sz w:val="24"/>
              </w:rPr>
            </w:pPr>
            <w:r>
              <w:rPr>
                <w:rFonts w:hAnsi="宋体"/>
                <w:sz w:val="24"/>
              </w:rPr>
              <w:t>其基本工艺流程见图2.</w:t>
            </w:r>
            <w:r>
              <w:rPr>
                <w:rFonts w:hint="eastAsia" w:hAnsi="宋体"/>
                <w:sz w:val="24"/>
              </w:rPr>
              <w:t>5.1</w:t>
            </w:r>
            <w:r>
              <w:rPr>
                <w:rFonts w:hAnsi="宋体"/>
                <w:sz w:val="24"/>
              </w:rPr>
              <w:t xml:space="preserve">-1  </w:t>
            </w:r>
          </w:p>
          <w:p w14:paraId="30211B6B">
            <w:pPr>
              <w:ind w:firstLine="560"/>
            </w:pPr>
            <w:r>
              <w:rPr>
                <w:rFonts w:hAnsi="宋体"/>
                <w:szCs w:val="28"/>
              </w:rPr>
              <w:drawing>
                <wp:anchor distT="0" distB="0" distL="114300" distR="114300" simplePos="0" relativeHeight="251661312" behindDoc="0" locked="0" layoutInCell="1" allowOverlap="1">
                  <wp:simplePos x="0" y="0"/>
                  <wp:positionH relativeFrom="column">
                    <wp:posOffset>153035</wp:posOffset>
                  </wp:positionH>
                  <wp:positionV relativeFrom="paragraph">
                    <wp:posOffset>50165</wp:posOffset>
                  </wp:positionV>
                  <wp:extent cx="5038725" cy="3575685"/>
                  <wp:effectExtent l="0" t="0" r="9525" b="5715"/>
                  <wp:wrapTopAndBottom/>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
                          <a:stretch>
                            <a:fillRect/>
                          </a:stretch>
                        </pic:blipFill>
                        <pic:spPr>
                          <a:xfrm>
                            <a:off x="0" y="0"/>
                            <a:ext cx="5038725" cy="3575685"/>
                          </a:xfrm>
                          <a:prstGeom prst="rect">
                            <a:avLst/>
                          </a:prstGeom>
                          <a:noFill/>
                          <a:ln>
                            <a:noFill/>
                          </a:ln>
                        </pic:spPr>
                      </pic:pic>
                    </a:graphicData>
                  </a:graphic>
                </wp:anchor>
              </w:drawing>
            </w:r>
          </w:p>
          <w:p w14:paraId="3D25FD4D">
            <w:pPr>
              <w:ind w:firstLine="560"/>
            </w:pPr>
          </w:p>
          <w:p w14:paraId="54CBFC36">
            <w:pPr>
              <w:pStyle w:val="9"/>
              <w:ind w:left="0" w:leftChars="0" w:firstLine="0" w:firstLineChars="0"/>
            </w:pPr>
          </w:p>
        </w:tc>
      </w:tr>
      <w:tr w14:paraId="1BF1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588" w:type="dxa"/>
            <w:tcBorders>
              <w:tl2br w:val="nil"/>
              <w:tr2bl w:val="nil"/>
            </w:tcBorders>
            <w:shd w:val="clear" w:color="auto" w:fill="FFFFFF"/>
            <w:vAlign w:val="center"/>
          </w:tcPr>
          <w:p w14:paraId="3409B03F">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641" w:type="dxa"/>
            <w:gridSpan w:val="3"/>
            <w:tcBorders>
              <w:tl2br w:val="nil"/>
              <w:tr2bl w:val="nil"/>
            </w:tcBorders>
            <w:shd w:val="clear" w:color="auto" w:fill="FFFFFF"/>
            <w:vAlign w:val="center"/>
          </w:tcPr>
          <w:p w14:paraId="7EFBC9DB">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D345BA6">
      <w:pPr>
        <w:rPr>
          <w:rFonts w:hint="eastAsia" w:eastAsia="宋体"/>
          <w:lang w:eastAsia="zh-CN"/>
        </w:rPr>
      </w:pPr>
      <w:r>
        <w:br w:type="page"/>
      </w:r>
    </w:p>
    <w:p w14:paraId="1564A64D">
      <w:pPr>
        <w:rPr>
          <w:rFonts w:hint="eastAsia" w:eastAsia="宋体"/>
          <w:lang w:eastAsia="zh-CN"/>
        </w:rPr>
      </w:pPr>
      <w:r>
        <w:rPr>
          <w:rFonts w:hint="eastAsia" w:eastAsia="宋体"/>
          <w:lang w:eastAsia="zh-CN"/>
        </w:rPr>
        <w:drawing>
          <wp:inline distT="0" distB="0" distL="114300" distR="114300">
            <wp:extent cx="5233670" cy="3924935"/>
            <wp:effectExtent l="0" t="0" r="5080" b="18415"/>
            <wp:docPr id="1" name="图片 1" descr="IMG_20250830_14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0830_143046"/>
                    <pic:cNvPicPr>
                      <a:picLocks noChangeAspect="1"/>
                    </pic:cNvPicPr>
                  </pic:nvPicPr>
                  <pic:blipFill>
                    <a:blip r:embed="rId5"/>
                    <a:stretch>
                      <a:fillRect/>
                    </a:stretch>
                  </pic:blipFill>
                  <pic:spPr>
                    <a:xfrm>
                      <a:off x="0" y="0"/>
                      <a:ext cx="5233670" cy="3924935"/>
                    </a:xfrm>
                    <a:prstGeom prst="rect">
                      <a:avLst/>
                    </a:prstGeom>
                  </pic:spPr>
                </pic:pic>
              </a:graphicData>
            </a:graphic>
          </wp:inline>
        </w:drawing>
      </w:r>
    </w:p>
    <w:p w14:paraId="6B305180">
      <w:pPr>
        <w:rPr>
          <w:rFonts w:hint="eastAsia" w:eastAsia="宋体"/>
          <w:lang w:eastAsia="zh-CN"/>
        </w:rPr>
      </w:pPr>
    </w:p>
    <w:p w14:paraId="13C1EE28">
      <w:pPr>
        <w:rPr>
          <w:rFonts w:hint="eastAsia"/>
          <w:lang w:eastAsia="zh-CN"/>
        </w:rPr>
      </w:pPr>
    </w:p>
    <w:p w14:paraId="58D3CBC5">
      <w:pPr>
        <w:rPr>
          <w:rFonts w:hint="eastAsia"/>
          <w:lang w:eastAsia="zh-CN"/>
        </w:rPr>
      </w:pPr>
      <w:r>
        <w:rPr>
          <w:rFonts w:hint="eastAsia" w:eastAsia="宋体"/>
          <w:lang w:eastAsia="zh-CN"/>
        </w:rPr>
        <w:drawing>
          <wp:anchor distT="0" distB="0" distL="114300" distR="114300" simplePos="0" relativeHeight="251660288" behindDoc="0" locked="0" layoutInCell="1" allowOverlap="1">
            <wp:simplePos x="0" y="0"/>
            <wp:positionH relativeFrom="column">
              <wp:posOffset>-118745</wp:posOffset>
            </wp:positionH>
            <wp:positionV relativeFrom="paragraph">
              <wp:posOffset>175260</wp:posOffset>
            </wp:positionV>
            <wp:extent cx="5233670" cy="3924935"/>
            <wp:effectExtent l="0" t="0" r="5080" b="18415"/>
            <wp:wrapNone/>
            <wp:docPr id="7" name="图片 7" descr="IMG_20250830_14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50830_143112"/>
                    <pic:cNvPicPr>
                      <a:picLocks noChangeAspect="1"/>
                    </pic:cNvPicPr>
                  </pic:nvPicPr>
                  <pic:blipFill>
                    <a:blip r:embed="rId6"/>
                    <a:stretch>
                      <a:fillRect/>
                    </a:stretch>
                  </pic:blipFill>
                  <pic:spPr>
                    <a:xfrm>
                      <a:off x="0" y="0"/>
                      <a:ext cx="5233670" cy="3924935"/>
                    </a:xfrm>
                    <a:prstGeom prst="rect">
                      <a:avLst/>
                    </a:prstGeom>
                  </pic:spPr>
                </pic:pic>
              </a:graphicData>
            </a:graphic>
          </wp:anchor>
        </w:drawing>
      </w:r>
      <w:r>
        <w:rPr>
          <w:rFonts w:hint="eastAsia"/>
          <w:lang w:eastAsia="zh-CN"/>
        </w:rPr>
        <w:br w:type="page"/>
      </w:r>
    </w:p>
    <w:p w14:paraId="0A2220E2">
      <w:pPr>
        <w:rPr>
          <w:rFonts w:hint="eastAsia" w:eastAsia="宋体"/>
          <w:lang w:eastAsia="zh-CN"/>
        </w:rPr>
        <w:sectPr>
          <w:pgSz w:w="11906" w:h="16838"/>
          <w:pgMar w:top="1440" w:right="1800" w:bottom="1440" w:left="1800" w:header="851" w:footer="992" w:gutter="0"/>
          <w:cols w:space="720" w:num="1"/>
          <w:docGrid w:type="lines" w:linePitch="312" w:charSpace="0"/>
        </w:sectPr>
      </w:pPr>
    </w:p>
    <w:p w14:paraId="6D90DC4E">
      <w:r>
        <w:drawing>
          <wp:inline distT="0" distB="0" distL="114300" distR="114300">
            <wp:extent cx="5273040" cy="7530465"/>
            <wp:effectExtent l="0" t="0" r="3810"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73040" cy="7530465"/>
                    </a:xfrm>
                    <a:prstGeom prst="rect">
                      <a:avLst/>
                    </a:prstGeom>
                    <a:noFill/>
                    <a:ln>
                      <a:noFill/>
                    </a:ln>
                  </pic:spPr>
                </pic:pic>
              </a:graphicData>
            </a:graphic>
          </wp:inline>
        </w:drawing>
      </w:r>
    </w:p>
    <w:p w14:paraId="3EE79A1A">
      <w:r>
        <w:br w:type="page"/>
      </w:r>
    </w:p>
    <w:p w14:paraId="33221B3D">
      <w:pPr>
        <w:pStyle w:val="8"/>
      </w:pPr>
    </w:p>
    <w:p w14:paraId="012FAA69">
      <w:r>
        <w:drawing>
          <wp:inline distT="0" distB="0" distL="114300" distR="114300">
            <wp:extent cx="5271770" cy="7527290"/>
            <wp:effectExtent l="0" t="0" r="5080" b="165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271770" cy="7527290"/>
                    </a:xfrm>
                    <a:prstGeom prst="rect">
                      <a:avLst/>
                    </a:prstGeom>
                    <a:noFill/>
                    <a:ln>
                      <a:noFill/>
                    </a:ln>
                  </pic:spPr>
                </pic:pic>
              </a:graphicData>
            </a:graphic>
          </wp:inline>
        </w:drawing>
      </w:r>
      <w:r>
        <w:br w:type="page"/>
      </w:r>
    </w:p>
    <w:p w14:paraId="6236FC4C"/>
    <w:p w14:paraId="74E6BE4A">
      <w:pPr>
        <w:rPr>
          <w:rFonts w:hint="eastAsia"/>
          <w:lang w:eastAsia="zh-CN"/>
        </w:rPr>
      </w:pPr>
      <w:r>
        <w:drawing>
          <wp:inline distT="0" distB="0" distL="114300" distR="114300">
            <wp:extent cx="5703570" cy="8039735"/>
            <wp:effectExtent l="0" t="0" r="11430" b="1841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5703570" cy="8039735"/>
                    </a:xfrm>
                    <a:prstGeom prst="rect">
                      <a:avLst/>
                    </a:prstGeom>
                    <a:noFill/>
                    <a:ln>
                      <a:noFill/>
                    </a:ln>
                  </pic:spPr>
                </pic:pic>
              </a:graphicData>
            </a:graphic>
          </wp:inline>
        </w:drawing>
      </w:r>
      <w:r>
        <w:rPr>
          <w:rFonts w:hint="eastAsia"/>
          <w:lang w:eastAsia="zh-CN"/>
        </w:rPr>
        <w:br w:type="page"/>
      </w:r>
    </w:p>
    <w:p w14:paraId="2B108EC7">
      <w:pPr>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drawing>
          <wp:anchor distT="0" distB="0" distL="114300" distR="114300" simplePos="0" relativeHeight="251659264" behindDoc="0" locked="0" layoutInCell="1" allowOverlap="1">
            <wp:simplePos x="0" y="0"/>
            <wp:positionH relativeFrom="column">
              <wp:posOffset>14605</wp:posOffset>
            </wp:positionH>
            <wp:positionV relativeFrom="paragraph">
              <wp:posOffset>313055</wp:posOffset>
            </wp:positionV>
            <wp:extent cx="5271135" cy="7454900"/>
            <wp:effectExtent l="0" t="0" r="5715" b="12700"/>
            <wp:wrapNone/>
            <wp:docPr id="4" name="图片 4" descr="202510310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510310600-1"/>
                    <pic:cNvPicPr>
                      <a:picLocks noChangeAspect="1"/>
                    </pic:cNvPicPr>
                  </pic:nvPicPr>
                  <pic:blipFill>
                    <a:blip r:embed="rId10"/>
                    <a:stretch>
                      <a:fillRect/>
                    </a:stretch>
                  </pic:blipFill>
                  <pic:spPr>
                    <a:xfrm>
                      <a:off x="0" y="0"/>
                      <a:ext cx="5271135" cy="7454900"/>
                    </a:xfrm>
                    <a:prstGeom prst="rect">
                      <a:avLst/>
                    </a:prstGeom>
                  </pic:spPr>
                </pic:pic>
              </a:graphicData>
            </a:graphic>
          </wp:anchor>
        </w:drawing>
      </w:r>
      <w:r>
        <w:rPr>
          <w:rFonts w:hint="eastAsia" w:ascii="Calibri" w:hAnsi="Calibri" w:eastAsia="宋体" w:cs="Times New Roman"/>
          <w:kern w:val="2"/>
          <w:sz w:val="21"/>
          <w:szCs w:val="24"/>
          <w:lang w:val="en-US" w:eastAsia="zh-CN" w:bidi="ar-SA"/>
        </w:rPr>
        <w:br w:type="page"/>
      </w:r>
    </w:p>
    <w:p w14:paraId="139979EB">
      <w:pPr>
        <w:pStyle w:val="8"/>
        <w:rPr>
          <w:rFonts w:hint="eastAsia"/>
          <w:lang w:val="en-US" w:eastAsia="zh-CN"/>
        </w:rPr>
      </w:pPr>
      <w:r>
        <w:drawing>
          <wp:inline distT="0" distB="0" distL="114300" distR="114300">
            <wp:extent cx="5878195" cy="8338820"/>
            <wp:effectExtent l="0" t="0" r="8255" b="508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5878195" cy="8338820"/>
                    </a:xfrm>
                    <a:prstGeom prst="rect">
                      <a:avLst/>
                    </a:prstGeom>
                    <a:noFill/>
                    <a:ln>
                      <a:noFill/>
                    </a:ln>
                  </pic:spPr>
                </pic:pic>
              </a:graphicData>
            </a:graphic>
          </wp:inline>
        </w:drawing>
      </w:r>
    </w:p>
    <w:p w14:paraId="48489782">
      <w:pPr>
        <w:rPr>
          <w:rFonts w:hint="eastAsia"/>
          <w:lang w:eastAsia="zh-CN"/>
        </w:rPr>
      </w:pPr>
    </w:p>
    <w:p w14:paraId="3063B77D">
      <w:pPr>
        <w:rPr>
          <w:rFonts w:hint="eastAsia"/>
          <w:lang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3855F"/>
    <w:multiLevelType w:val="singleLevel"/>
    <w:tmpl w:val="5183855F"/>
    <w:lvl w:ilvl="0" w:tentative="0">
      <w:start w:val="1"/>
      <w:numFmt w:val="chineseCounting"/>
      <w:pStyle w:val="44"/>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 w:name="KSO_WPS_MARK_KEY" w:val="f0c94484-18bf-41d0-a894-232196517eb0"/>
  </w:docVars>
  <w:rsids>
    <w:rsidRoot w:val="00E3751A"/>
    <w:rsid w:val="00047227"/>
    <w:rsid w:val="00303C12"/>
    <w:rsid w:val="003A7C06"/>
    <w:rsid w:val="004340C8"/>
    <w:rsid w:val="004D1AF7"/>
    <w:rsid w:val="005858BE"/>
    <w:rsid w:val="00756850"/>
    <w:rsid w:val="007A2261"/>
    <w:rsid w:val="00802085"/>
    <w:rsid w:val="008F01AE"/>
    <w:rsid w:val="00C75118"/>
    <w:rsid w:val="00C82162"/>
    <w:rsid w:val="00D40559"/>
    <w:rsid w:val="00E3751A"/>
    <w:rsid w:val="00FF47EE"/>
    <w:rsid w:val="01381A2C"/>
    <w:rsid w:val="030516AD"/>
    <w:rsid w:val="03463A74"/>
    <w:rsid w:val="03C37305"/>
    <w:rsid w:val="04334FFF"/>
    <w:rsid w:val="04543719"/>
    <w:rsid w:val="045937F4"/>
    <w:rsid w:val="04664971"/>
    <w:rsid w:val="04714B20"/>
    <w:rsid w:val="04D11406"/>
    <w:rsid w:val="04E23328"/>
    <w:rsid w:val="050505ED"/>
    <w:rsid w:val="06007F0A"/>
    <w:rsid w:val="062E2CC9"/>
    <w:rsid w:val="06EF6353"/>
    <w:rsid w:val="07D32EB9"/>
    <w:rsid w:val="07E46E00"/>
    <w:rsid w:val="0814540D"/>
    <w:rsid w:val="08300409"/>
    <w:rsid w:val="08302FF8"/>
    <w:rsid w:val="08E81855"/>
    <w:rsid w:val="08ED0200"/>
    <w:rsid w:val="096769A3"/>
    <w:rsid w:val="096F1B10"/>
    <w:rsid w:val="09806C85"/>
    <w:rsid w:val="0A0E1339"/>
    <w:rsid w:val="0A173A74"/>
    <w:rsid w:val="0A4F7A65"/>
    <w:rsid w:val="0BC750FD"/>
    <w:rsid w:val="0D073DB5"/>
    <w:rsid w:val="0D081033"/>
    <w:rsid w:val="0E564C35"/>
    <w:rsid w:val="0EC817E1"/>
    <w:rsid w:val="0F1C6141"/>
    <w:rsid w:val="0FFD1618"/>
    <w:rsid w:val="10806817"/>
    <w:rsid w:val="10A546BD"/>
    <w:rsid w:val="10AE1BD9"/>
    <w:rsid w:val="10D96D50"/>
    <w:rsid w:val="13FA1B12"/>
    <w:rsid w:val="141C622E"/>
    <w:rsid w:val="147F5532"/>
    <w:rsid w:val="156C314D"/>
    <w:rsid w:val="15CB68F5"/>
    <w:rsid w:val="16B10157"/>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E194FFE"/>
    <w:rsid w:val="1ED50FA6"/>
    <w:rsid w:val="1F0F5E71"/>
    <w:rsid w:val="1F142A61"/>
    <w:rsid w:val="1F2A023E"/>
    <w:rsid w:val="1F642D26"/>
    <w:rsid w:val="1FAC2BD1"/>
    <w:rsid w:val="1FF45CE7"/>
    <w:rsid w:val="2107263D"/>
    <w:rsid w:val="214C4107"/>
    <w:rsid w:val="21A13C43"/>
    <w:rsid w:val="22366385"/>
    <w:rsid w:val="224031F6"/>
    <w:rsid w:val="2282270A"/>
    <w:rsid w:val="229735F9"/>
    <w:rsid w:val="22AD2D70"/>
    <w:rsid w:val="23532900"/>
    <w:rsid w:val="23B37411"/>
    <w:rsid w:val="242E50EF"/>
    <w:rsid w:val="244E33BB"/>
    <w:rsid w:val="24775815"/>
    <w:rsid w:val="24D12D46"/>
    <w:rsid w:val="25FB3FD9"/>
    <w:rsid w:val="271635D9"/>
    <w:rsid w:val="27280E94"/>
    <w:rsid w:val="27F61196"/>
    <w:rsid w:val="28814447"/>
    <w:rsid w:val="297A3C20"/>
    <w:rsid w:val="298C1931"/>
    <w:rsid w:val="29925FE1"/>
    <w:rsid w:val="29C972C6"/>
    <w:rsid w:val="2AB26CD9"/>
    <w:rsid w:val="2BD9110B"/>
    <w:rsid w:val="2C9D3BC7"/>
    <w:rsid w:val="2CF2686E"/>
    <w:rsid w:val="2E9E272A"/>
    <w:rsid w:val="2EAE6403"/>
    <w:rsid w:val="31055C5A"/>
    <w:rsid w:val="3256187C"/>
    <w:rsid w:val="3259568C"/>
    <w:rsid w:val="32A66941"/>
    <w:rsid w:val="334B2415"/>
    <w:rsid w:val="339918AA"/>
    <w:rsid w:val="33BD2F62"/>
    <w:rsid w:val="341F407D"/>
    <w:rsid w:val="34BD4A82"/>
    <w:rsid w:val="351530F3"/>
    <w:rsid w:val="35211925"/>
    <w:rsid w:val="35524794"/>
    <w:rsid w:val="36577381"/>
    <w:rsid w:val="366115C7"/>
    <w:rsid w:val="37285AB1"/>
    <w:rsid w:val="375C6F30"/>
    <w:rsid w:val="3781684D"/>
    <w:rsid w:val="3823766B"/>
    <w:rsid w:val="396748BA"/>
    <w:rsid w:val="3A751F6D"/>
    <w:rsid w:val="3AB6680E"/>
    <w:rsid w:val="3AD61658"/>
    <w:rsid w:val="3ADD7367"/>
    <w:rsid w:val="3AF50232"/>
    <w:rsid w:val="3B251FB8"/>
    <w:rsid w:val="3B3712DA"/>
    <w:rsid w:val="3B622014"/>
    <w:rsid w:val="3C7D28D5"/>
    <w:rsid w:val="3C934571"/>
    <w:rsid w:val="3CE43836"/>
    <w:rsid w:val="3D027FC2"/>
    <w:rsid w:val="3D3D4FC4"/>
    <w:rsid w:val="3D4729D1"/>
    <w:rsid w:val="3DEB4A20"/>
    <w:rsid w:val="3E2D53F7"/>
    <w:rsid w:val="3EB62D94"/>
    <w:rsid w:val="3EEC7F81"/>
    <w:rsid w:val="3FA71C20"/>
    <w:rsid w:val="3FDA2F9E"/>
    <w:rsid w:val="40606FB3"/>
    <w:rsid w:val="408A0869"/>
    <w:rsid w:val="40995D81"/>
    <w:rsid w:val="40DC28F6"/>
    <w:rsid w:val="416C231C"/>
    <w:rsid w:val="419A7753"/>
    <w:rsid w:val="41B906C9"/>
    <w:rsid w:val="41C84509"/>
    <w:rsid w:val="421E5E45"/>
    <w:rsid w:val="42305ED2"/>
    <w:rsid w:val="42355182"/>
    <w:rsid w:val="43120BD6"/>
    <w:rsid w:val="43B14016"/>
    <w:rsid w:val="43F50190"/>
    <w:rsid w:val="4432163F"/>
    <w:rsid w:val="44476729"/>
    <w:rsid w:val="4546743F"/>
    <w:rsid w:val="45A13141"/>
    <w:rsid w:val="46966FC2"/>
    <w:rsid w:val="47EE36B2"/>
    <w:rsid w:val="485E76F8"/>
    <w:rsid w:val="48AF6D87"/>
    <w:rsid w:val="49CE6C17"/>
    <w:rsid w:val="4CDE060B"/>
    <w:rsid w:val="4E3D5914"/>
    <w:rsid w:val="4E461B89"/>
    <w:rsid w:val="4F4C1097"/>
    <w:rsid w:val="4F540982"/>
    <w:rsid w:val="4F844CD5"/>
    <w:rsid w:val="4FF32FA8"/>
    <w:rsid w:val="50EA0B03"/>
    <w:rsid w:val="512A57AB"/>
    <w:rsid w:val="515A3854"/>
    <w:rsid w:val="5276471A"/>
    <w:rsid w:val="52CC47C0"/>
    <w:rsid w:val="52E07D49"/>
    <w:rsid w:val="5374510A"/>
    <w:rsid w:val="53F5005F"/>
    <w:rsid w:val="54BA1C16"/>
    <w:rsid w:val="563D2137"/>
    <w:rsid w:val="56836AB2"/>
    <w:rsid w:val="56BC2DE3"/>
    <w:rsid w:val="56D42C4D"/>
    <w:rsid w:val="57301D47"/>
    <w:rsid w:val="57487036"/>
    <w:rsid w:val="575D6537"/>
    <w:rsid w:val="57800B40"/>
    <w:rsid w:val="57CD2DFE"/>
    <w:rsid w:val="58244FE5"/>
    <w:rsid w:val="584B13F6"/>
    <w:rsid w:val="588E0972"/>
    <w:rsid w:val="59217B49"/>
    <w:rsid w:val="59656964"/>
    <w:rsid w:val="59D926D2"/>
    <w:rsid w:val="5A034680"/>
    <w:rsid w:val="5AA52A54"/>
    <w:rsid w:val="5BC05975"/>
    <w:rsid w:val="5BD743DE"/>
    <w:rsid w:val="5D63281F"/>
    <w:rsid w:val="5D706898"/>
    <w:rsid w:val="5D731EE5"/>
    <w:rsid w:val="5D7C7100"/>
    <w:rsid w:val="5D89238E"/>
    <w:rsid w:val="5D8C28DB"/>
    <w:rsid w:val="5DA30A1C"/>
    <w:rsid w:val="5E3F6556"/>
    <w:rsid w:val="5E4A7A0E"/>
    <w:rsid w:val="5E8C3C37"/>
    <w:rsid w:val="5EBC6D64"/>
    <w:rsid w:val="5ED03402"/>
    <w:rsid w:val="5F182B4A"/>
    <w:rsid w:val="5FD163AE"/>
    <w:rsid w:val="60057BEA"/>
    <w:rsid w:val="60B44CEE"/>
    <w:rsid w:val="60B460AF"/>
    <w:rsid w:val="619747AF"/>
    <w:rsid w:val="621C336D"/>
    <w:rsid w:val="62A05F08"/>
    <w:rsid w:val="62EA5BC6"/>
    <w:rsid w:val="630737FB"/>
    <w:rsid w:val="63C25DAA"/>
    <w:rsid w:val="64126CC6"/>
    <w:rsid w:val="648F0582"/>
    <w:rsid w:val="64F540D9"/>
    <w:rsid w:val="6559245A"/>
    <w:rsid w:val="65622F6B"/>
    <w:rsid w:val="658C415A"/>
    <w:rsid w:val="65BD6D5B"/>
    <w:rsid w:val="6615566F"/>
    <w:rsid w:val="66C53C4A"/>
    <w:rsid w:val="673B297E"/>
    <w:rsid w:val="678F323C"/>
    <w:rsid w:val="68233EA0"/>
    <w:rsid w:val="68A30209"/>
    <w:rsid w:val="68C86C57"/>
    <w:rsid w:val="6A3C5D07"/>
    <w:rsid w:val="6AA57F27"/>
    <w:rsid w:val="6B0D1BCA"/>
    <w:rsid w:val="6B185020"/>
    <w:rsid w:val="6CC37EB5"/>
    <w:rsid w:val="6D1139EB"/>
    <w:rsid w:val="6D3457FF"/>
    <w:rsid w:val="6E2A4841"/>
    <w:rsid w:val="6EEF19E2"/>
    <w:rsid w:val="6F272686"/>
    <w:rsid w:val="6F3D1DEF"/>
    <w:rsid w:val="6F963F3C"/>
    <w:rsid w:val="6FE54B28"/>
    <w:rsid w:val="71276AD1"/>
    <w:rsid w:val="7160445C"/>
    <w:rsid w:val="71697143"/>
    <w:rsid w:val="716C6A50"/>
    <w:rsid w:val="7207397B"/>
    <w:rsid w:val="729E3A33"/>
    <w:rsid w:val="72C43B37"/>
    <w:rsid w:val="737D1DEA"/>
    <w:rsid w:val="748B2EA1"/>
    <w:rsid w:val="74AE0F56"/>
    <w:rsid w:val="76391AC6"/>
    <w:rsid w:val="7672193D"/>
    <w:rsid w:val="770403EE"/>
    <w:rsid w:val="771C50B0"/>
    <w:rsid w:val="771E190D"/>
    <w:rsid w:val="77832F9B"/>
    <w:rsid w:val="77C519A6"/>
    <w:rsid w:val="784004D1"/>
    <w:rsid w:val="78725E9B"/>
    <w:rsid w:val="7877129B"/>
    <w:rsid w:val="78E96245"/>
    <w:rsid w:val="79302291"/>
    <w:rsid w:val="797D7F1B"/>
    <w:rsid w:val="79FE7AE0"/>
    <w:rsid w:val="7A083C89"/>
    <w:rsid w:val="7AA15E8B"/>
    <w:rsid w:val="7B424553"/>
    <w:rsid w:val="7BB96559"/>
    <w:rsid w:val="7C304A31"/>
    <w:rsid w:val="7C6520EB"/>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autoRedefine/>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autoRedefine/>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autoRedefine/>
    <w:unhideWhenUsed/>
    <w:qFormat/>
    <w:uiPriority w:val="0"/>
    <w:pPr>
      <w:keepNext/>
      <w:keepLines/>
      <w:outlineLvl w:val="3"/>
    </w:pPr>
    <w:rPr>
      <w:b/>
    </w:rPr>
  </w:style>
  <w:style w:type="character" w:default="1" w:styleId="24">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annotation text"/>
    <w:basedOn w:val="1"/>
    <w:qFormat/>
    <w:uiPriority w:val="0"/>
    <w:pPr>
      <w:jc w:val="left"/>
    </w:pPr>
  </w:style>
  <w:style w:type="paragraph" w:styleId="8">
    <w:name w:val="Body Text"/>
    <w:basedOn w:val="1"/>
    <w:next w:val="1"/>
    <w:autoRedefine/>
    <w:qFormat/>
    <w:uiPriority w:val="99"/>
    <w:rPr>
      <w:sz w:val="28"/>
      <w:szCs w:val="28"/>
    </w:rPr>
  </w:style>
  <w:style w:type="paragraph" w:styleId="9">
    <w:name w:val="Body Text Indent"/>
    <w:basedOn w:val="1"/>
    <w:next w:val="8"/>
    <w:autoRedefine/>
    <w:unhideWhenUsed/>
    <w:qFormat/>
    <w:uiPriority w:val="99"/>
    <w:pPr>
      <w:spacing w:after="120"/>
      <w:ind w:left="420" w:leftChars="200"/>
    </w:pPr>
  </w:style>
  <w:style w:type="paragraph" w:styleId="10">
    <w:name w:val="toc 5"/>
    <w:basedOn w:val="1"/>
    <w:next w:val="1"/>
    <w:autoRedefine/>
    <w:semiHidden/>
    <w:qFormat/>
    <w:uiPriority w:val="0"/>
    <w:pPr>
      <w:ind w:left="1120"/>
      <w:jc w:val="left"/>
    </w:pPr>
    <w:rPr>
      <w:sz w:val="18"/>
      <w:szCs w:val="18"/>
    </w:rPr>
  </w:style>
  <w:style w:type="paragraph" w:styleId="11">
    <w:name w:val="Plain Text"/>
    <w:basedOn w:val="1"/>
    <w:autoRedefine/>
    <w:qFormat/>
    <w:uiPriority w:val="0"/>
    <w:rPr>
      <w:rFonts w:ascii="宋体" w:hAnsi="Courier New" w:cs="Courier New"/>
      <w:szCs w:val="21"/>
    </w:rPr>
  </w:style>
  <w:style w:type="paragraph" w:styleId="12">
    <w:name w:val="Date"/>
    <w:basedOn w:val="1"/>
    <w:next w:val="1"/>
    <w:link w:val="48"/>
    <w:autoRedefine/>
    <w:qFormat/>
    <w:uiPriority w:val="0"/>
    <w:pPr>
      <w:ind w:left="100" w:leftChars="2500"/>
    </w:pPr>
    <w:rPr>
      <w:rFonts w:ascii="Times New Roman" w:hAnsi="Times New Roman"/>
      <w:b/>
      <w:bCs/>
      <w:sz w:val="28"/>
    </w:rPr>
  </w:style>
  <w:style w:type="paragraph" w:styleId="13">
    <w:name w:val="Body Text Indent 2"/>
    <w:basedOn w:val="1"/>
    <w:autoRedefine/>
    <w:qFormat/>
    <w:uiPriority w:val="0"/>
    <w:pPr>
      <w:ind w:firstLine="538" w:firstLineChars="192"/>
    </w:pPr>
    <w:rPr>
      <w:rFonts w:ascii="宋体" w:hAnsi="宋体"/>
      <w:sz w:val="28"/>
    </w:rPr>
  </w:style>
  <w:style w:type="paragraph" w:styleId="14">
    <w:name w:val="Balloon Text"/>
    <w:basedOn w:val="1"/>
    <w:link w:val="34"/>
    <w:autoRedefine/>
    <w:qFormat/>
    <w:uiPriority w:val="0"/>
    <w:rPr>
      <w:sz w:val="18"/>
      <w:szCs w:val="18"/>
    </w:rPr>
  </w:style>
  <w:style w:type="paragraph" w:styleId="15">
    <w:name w:val="footer"/>
    <w:basedOn w:val="1"/>
    <w:next w:val="16"/>
    <w:autoRedefine/>
    <w:qFormat/>
    <w:uiPriority w:val="99"/>
    <w:pPr>
      <w:tabs>
        <w:tab w:val="center" w:pos="4153"/>
        <w:tab w:val="right" w:pos="8306"/>
      </w:tabs>
      <w:snapToGrid w:val="0"/>
    </w:pPr>
    <w:rPr>
      <w:sz w:val="18"/>
      <w:szCs w:val="18"/>
    </w:rPr>
  </w:style>
  <w:style w:type="paragraph" w:styleId="16">
    <w:name w:val="Normal (Web)"/>
    <w:basedOn w:val="1"/>
    <w:next w:val="17"/>
    <w:autoRedefine/>
    <w:qFormat/>
    <w:uiPriority w:val="0"/>
    <w:pPr>
      <w:spacing w:before="100" w:beforeAutospacing="1" w:after="100" w:afterAutospacing="1"/>
      <w:jc w:val="left"/>
    </w:pPr>
    <w:rPr>
      <w:kern w:val="0"/>
      <w:sz w:val="24"/>
    </w:rPr>
  </w:style>
  <w:style w:type="paragraph" w:customStyle="1" w:styleId="17">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uiPriority w:val="39"/>
    <w:pPr>
      <w:jc w:val="left"/>
    </w:pPr>
    <w:rPr>
      <w:rFonts w:ascii="宋体"/>
      <w:b/>
      <w:bCs/>
      <w:caps/>
      <w:sz w:val="20"/>
      <w:szCs w:val="20"/>
    </w:rPr>
  </w:style>
  <w:style w:type="paragraph" w:styleId="20">
    <w:name w:val="Body Text Indent 3"/>
    <w:basedOn w:val="1"/>
    <w:autoRedefine/>
    <w:qFormat/>
    <w:uiPriority w:val="0"/>
    <w:pPr>
      <w:ind w:firstLine="630"/>
    </w:pPr>
    <w:rPr>
      <w:rFonts w:ascii="Times New Roman" w:hAnsi="Times New Roman" w:eastAsia="仿宋_GB2312"/>
      <w:sz w:val="28"/>
    </w:rPr>
  </w:style>
  <w:style w:type="paragraph" w:styleId="21">
    <w:name w:val="Body Text First Indent"/>
    <w:basedOn w:val="8"/>
    <w:next w:val="1"/>
    <w:autoRedefine/>
    <w:qFormat/>
    <w:uiPriority w:val="0"/>
    <w:pPr>
      <w:spacing w:after="120"/>
      <w:ind w:firstLine="420" w:firstLineChars="100"/>
    </w:pPr>
  </w:style>
  <w:style w:type="paragraph" w:styleId="22">
    <w:name w:val="Body Text First Indent 2"/>
    <w:basedOn w:val="8"/>
    <w:next w:val="1"/>
    <w:autoRedefine/>
    <w:unhideWhenUsed/>
    <w:qFormat/>
    <w:uiPriority w:val="99"/>
    <w:pPr>
      <w:ind w:firstLine="420" w:firstLineChars="200"/>
    </w:pPr>
  </w:style>
  <w:style w:type="character" w:styleId="25">
    <w:name w:val="annotation reference"/>
    <w:qFormat/>
    <w:uiPriority w:val="0"/>
    <w:rPr>
      <w:sz w:val="21"/>
      <w:szCs w:val="21"/>
    </w:rPr>
  </w:style>
  <w:style w:type="paragraph" w:customStyle="1" w:styleId="26">
    <w:name w:val="Default"/>
    <w:basedOn w:val="27"/>
    <w:next w:val="22"/>
    <w:autoRedefine/>
    <w:qFormat/>
    <w:uiPriority w:val="0"/>
    <w:pPr>
      <w:autoSpaceDE w:val="0"/>
      <w:autoSpaceDN w:val="0"/>
    </w:pPr>
    <w:rPr>
      <w:rFonts w:hint="eastAsia" w:ascii="宋体"/>
      <w:sz w:val="24"/>
    </w:rPr>
  </w:style>
  <w:style w:type="paragraph" w:customStyle="1" w:styleId="27">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正文2"/>
    <w:basedOn w:val="1"/>
    <w:autoRedefine/>
    <w:qFormat/>
    <w:uiPriority w:val="0"/>
    <w:pPr>
      <w:spacing w:line="440" w:lineRule="atLeast"/>
      <w:ind w:firstLine="567"/>
    </w:pPr>
    <w:rPr>
      <w:sz w:val="24"/>
      <w:szCs w:val="20"/>
    </w:rPr>
  </w:style>
  <w:style w:type="paragraph" w:customStyle="1" w:styleId="29">
    <w:name w:val="样式 首行缩进:  2 字符"/>
    <w:basedOn w:val="1"/>
    <w:next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0">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1">
    <w:name w:val="样式 标题 2"/>
    <w:basedOn w:val="3"/>
    <w:autoRedefine/>
    <w:qFormat/>
    <w:uiPriority w:val="0"/>
    <w:pPr>
      <w:spacing w:beforeLines="0" w:afterLines="0"/>
    </w:pPr>
    <w:rPr>
      <w:rFonts w:ascii="Arial" w:hAnsi="Arial" w:eastAsia="宋体" w:cs="宋体"/>
      <w:snapToGrid/>
      <w:kern w:val="2"/>
      <w:szCs w:val="32"/>
      <w:lang w:val="zh-CN"/>
    </w:rPr>
  </w:style>
  <w:style w:type="paragraph" w:customStyle="1" w:styleId="32">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p0"/>
    <w:basedOn w:val="1"/>
    <w:autoRedefine/>
    <w:qFormat/>
    <w:uiPriority w:val="0"/>
    <w:pPr>
      <w:widowControl/>
    </w:pPr>
    <w:rPr>
      <w:kern w:val="0"/>
      <w:szCs w:val="21"/>
    </w:rPr>
  </w:style>
  <w:style w:type="character" w:customStyle="1" w:styleId="34">
    <w:name w:val="批注框文本 字符"/>
    <w:basedOn w:val="24"/>
    <w:link w:val="14"/>
    <w:autoRedefine/>
    <w:qFormat/>
    <w:uiPriority w:val="0"/>
    <w:rPr>
      <w:rFonts w:ascii="Calibri" w:hAnsi="Calibri"/>
      <w:kern w:val="2"/>
      <w:sz w:val="18"/>
      <w:szCs w:val="18"/>
    </w:rPr>
  </w:style>
  <w:style w:type="paragraph" w:customStyle="1" w:styleId="35">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6">
    <w:name w:val="表头 Char Char Char"/>
    <w:basedOn w:val="24"/>
    <w:autoRedefine/>
    <w:qFormat/>
    <w:uiPriority w:val="0"/>
    <w:rPr>
      <w:rFonts w:ascii="宋体" w:hAnsi="Tahoma" w:eastAsia="宋体"/>
      <w:snapToGrid w:val="0"/>
      <w:spacing w:val="6"/>
      <w:kern w:val="10"/>
      <w:sz w:val="24"/>
    </w:rPr>
  </w:style>
  <w:style w:type="paragraph" w:customStyle="1" w:styleId="37">
    <w:name w:val="表格居中"/>
    <w:basedOn w:val="38"/>
    <w:autoRedefine/>
    <w:qFormat/>
    <w:uiPriority w:val="0"/>
    <w:pPr>
      <w:jc w:val="center"/>
    </w:pPr>
  </w:style>
  <w:style w:type="paragraph" w:customStyle="1" w:styleId="38">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9">
    <w:name w:val="伟灿工贸-表格文字"/>
    <w:basedOn w:val="1"/>
    <w:autoRedefine/>
    <w:qFormat/>
    <w:uiPriority w:val="0"/>
    <w:pPr>
      <w:jc w:val="center"/>
    </w:pPr>
    <w:rPr>
      <w:rFonts w:hint="eastAsia" w:ascii="宋体" w:hAnsi="宋体" w:cs="宋体"/>
      <w:szCs w:val="21"/>
    </w:rPr>
  </w:style>
  <w:style w:type="paragraph" w:customStyle="1" w:styleId="40">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1">
    <w:name w:val="表名、图名"/>
    <w:basedOn w:val="1"/>
    <w:next w:val="1"/>
    <w:autoRedefine/>
    <w:qFormat/>
    <w:uiPriority w:val="0"/>
    <w:pPr>
      <w:jc w:val="center"/>
    </w:pPr>
    <w:rPr>
      <w:b/>
      <w:bCs/>
    </w:rPr>
  </w:style>
  <w:style w:type="paragraph" w:customStyle="1" w:styleId="42">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3">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4">
    <w:name w:val="工艺序号"/>
    <w:basedOn w:val="1"/>
    <w:autoRedefine/>
    <w:qFormat/>
    <w:uiPriority w:val="0"/>
    <w:pPr>
      <w:numPr>
        <w:ilvl w:val="0"/>
        <w:numId w:val="1"/>
      </w:numPr>
    </w:pPr>
    <w:rPr>
      <w:b/>
      <w:bCs/>
    </w:rPr>
  </w:style>
  <w:style w:type="paragraph" w:customStyle="1" w:styleId="45">
    <w:name w:val="伟灿-表格文字"/>
    <w:basedOn w:val="1"/>
    <w:autoRedefine/>
    <w:qFormat/>
    <w:uiPriority w:val="0"/>
    <w:pPr>
      <w:jc w:val="center"/>
    </w:pPr>
    <w:rPr>
      <w:rFonts w:hint="eastAsia" w:ascii="宋体" w:hAnsi="宋体" w:cs="宋体"/>
      <w:szCs w:val="21"/>
    </w:rPr>
  </w:style>
  <w:style w:type="paragraph" w:styleId="46">
    <w:name w:val="List Paragraph"/>
    <w:basedOn w:val="1"/>
    <w:autoRedefine/>
    <w:qFormat/>
    <w:uiPriority w:val="99"/>
    <w:pPr>
      <w:ind w:firstLine="420" w:firstLineChars="200"/>
    </w:pPr>
  </w:style>
  <w:style w:type="paragraph" w:customStyle="1" w:styleId="47">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8">
    <w:name w:val="日期 字符"/>
    <w:basedOn w:val="24"/>
    <w:link w:val="12"/>
    <w:autoRedefine/>
    <w:qFormat/>
    <w:uiPriority w:val="0"/>
    <w:rPr>
      <w:b/>
      <w:bCs/>
      <w:kern w:val="2"/>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9</Pages>
  <Words>739</Words>
  <Characters>917</Characters>
  <Lines>8</Lines>
  <Paragraphs>2</Paragraphs>
  <TotalTime>0</TotalTime>
  <ScaleCrop>false</ScaleCrop>
  <LinksUpToDate>false</LinksUpToDate>
  <CharactersWithSpaces>925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2025-11-14T08:02:25Z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1F90C21CB3E643E19C92379BA30D4D03_13</vt:lpwstr>
  </property>
  <property fmtid="{D5CDD505-2E9C-101B-9397-08002B2CF9AE}" pid="4" name="KSOTemplateDocerSaveRecord">
    <vt:lpwstr>eyJoZGlkIjoiNDgzMjdiZTZhYWEwMDUyMzMwMzdhZWM2ZmNjMGMzMDkiLCJ1c2VySWQiOiI1NzcyNjAwMzgifQ==</vt:lpwstr>
  </property>
</Properties>
</file>