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45"/>
        <w:gridCol w:w="827"/>
        <w:gridCol w:w="5336"/>
        <w:gridCol w:w="2321"/>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5"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48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瑞金市红都加油站经营（零售）成品油项目安全现状评价报告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5"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48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5" w:type="dxa"/>
            <w:tcBorders>
              <w:tl2br w:val="nil"/>
              <w:tr2bl w:val="nil"/>
            </w:tcBorders>
            <w:shd w:val="clear" w:color="auto" w:fill="FFFFFF"/>
            <w:vAlign w:val="center"/>
          </w:tcPr>
          <w:p w14:paraId="10B93473">
            <w:pPr>
              <w:jc w:val="center"/>
              <w:rPr>
                <w:rFonts w:ascii="宋体" w:hAnsi="宋体" w:cs="宋体"/>
                <w:sz w:val="24"/>
              </w:rPr>
            </w:pPr>
          </w:p>
        </w:tc>
        <w:tc>
          <w:tcPr>
            <w:tcW w:w="82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336"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321"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745"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27" w:type="dxa"/>
            <w:tcBorders>
              <w:tl2br w:val="nil"/>
              <w:tr2bl w:val="nil"/>
            </w:tcBorders>
            <w:shd w:val="clear" w:color="auto" w:fill="FFFFFF"/>
            <w:vAlign w:val="center"/>
          </w:tcPr>
          <w:p w14:paraId="56565DEB">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徐顺星</w:t>
            </w:r>
          </w:p>
        </w:tc>
        <w:tc>
          <w:tcPr>
            <w:tcW w:w="5336" w:type="dxa"/>
            <w:tcBorders>
              <w:tl2br w:val="nil"/>
              <w:tr2bl w:val="nil"/>
            </w:tcBorders>
            <w:shd w:val="clear" w:color="auto" w:fill="FFFFFF"/>
            <w:vAlign w:val="center"/>
          </w:tcPr>
          <w:p w14:paraId="74203271">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S011041000110192002229</w:t>
            </w:r>
          </w:p>
        </w:tc>
        <w:tc>
          <w:tcPr>
            <w:tcW w:w="2321" w:type="dxa"/>
            <w:tcBorders>
              <w:tl2br w:val="nil"/>
              <w:tr2bl w:val="nil"/>
            </w:tcBorders>
            <w:shd w:val="clear" w:color="auto" w:fill="FFFFFF"/>
            <w:vAlign w:val="center"/>
          </w:tcPr>
          <w:p w14:paraId="3EA9A323">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745"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27" w:type="dxa"/>
            <w:tcBorders>
              <w:tl2br w:val="nil"/>
              <w:tr2bl w:val="nil"/>
            </w:tcBorders>
            <w:shd w:val="clear" w:color="auto" w:fill="FFFFFF"/>
            <w:vAlign w:val="center"/>
          </w:tcPr>
          <w:p w14:paraId="2D36C39E">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乔贯德</w:t>
            </w:r>
          </w:p>
        </w:tc>
        <w:tc>
          <w:tcPr>
            <w:tcW w:w="5336" w:type="dxa"/>
            <w:tcBorders>
              <w:tl2br w:val="nil"/>
              <w:tr2bl w:val="nil"/>
            </w:tcBorders>
            <w:shd w:val="clear" w:color="auto" w:fill="FFFFFF"/>
            <w:vAlign w:val="center"/>
          </w:tcPr>
          <w:p w14:paraId="652AFC5A">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1700000000300087</w:t>
            </w:r>
          </w:p>
        </w:tc>
        <w:tc>
          <w:tcPr>
            <w:tcW w:w="2321" w:type="dxa"/>
            <w:tcBorders>
              <w:tl2br w:val="nil"/>
              <w:tr2bl w:val="nil"/>
            </w:tcBorders>
            <w:shd w:val="clear" w:color="auto" w:fill="FFFFFF"/>
            <w:vAlign w:val="center"/>
          </w:tcPr>
          <w:p w14:paraId="155B3950">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5"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27" w:type="dxa"/>
            <w:tcBorders>
              <w:tl2br w:val="nil"/>
              <w:tr2bl w:val="nil"/>
            </w:tcBorders>
            <w:shd w:val="clear" w:color="auto" w:fill="FFFFFF"/>
            <w:vAlign w:val="center"/>
          </w:tcPr>
          <w:p w14:paraId="4A9331A7">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舒斌</w:t>
            </w:r>
          </w:p>
        </w:tc>
        <w:tc>
          <w:tcPr>
            <w:tcW w:w="5336" w:type="dxa"/>
            <w:tcBorders>
              <w:tl2br w:val="nil"/>
              <w:tr2bl w:val="nil"/>
            </w:tcBorders>
            <w:shd w:val="clear" w:color="auto" w:fill="FFFFFF"/>
            <w:vAlign w:val="center"/>
          </w:tcPr>
          <w:p w14:paraId="3E4AF7D5">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0800000000205889</w:t>
            </w:r>
            <w:r>
              <w:rPr>
                <w:rFonts w:hint="default" w:ascii="Times New Roman" w:hAnsi="Times New Roman" w:eastAsia="宋体" w:cs="Times New Roman"/>
                <w:sz w:val="24"/>
                <w:lang w:val="en-US" w:eastAsia="zh-CN"/>
              </w:rPr>
              <w:t xml:space="preserve">  </w:t>
            </w:r>
          </w:p>
        </w:tc>
        <w:tc>
          <w:tcPr>
            <w:tcW w:w="2321" w:type="dxa"/>
            <w:tcBorders>
              <w:tl2br w:val="nil"/>
              <w:tr2bl w:val="nil"/>
            </w:tcBorders>
            <w:shd w:val="clear" w:color="auto" w:fill="FFFFFF"/>
            <w:vAlign w:val="center"/>
          </w:tcPr>
          <w:p w14:paraId="097E9CF2">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5"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27" w:type="dxa"/>
            <w:tcBorders>
              <w:tl2br w:val="nil"/>
              <w:tr2bl w:val="nil"/>
            </w:tcBorders>
            <w:shd w:val="clear" w:color="auto" w:fill="FFFFFF"/>
            <w:vAlign w:val="center"/>
          </w:tcPr>
          <w:p w14:paraId="07C8D395">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5336" w:type="dxa"/>
            <w:tcBorders>
              <w:tl2br w:val="nil"/>
              <w:tr2bl w:val="nil"/>
            </w:tcBorders>
            <w:shd w:val="clear" w:color="auto" w:fill="FFFFFF"/>
            <w:vAlign w:val="center"/>
          </w:tcPr>
          <w:p w14:paraId="1F79760F">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16000</w:t>
            </w:r>
            <w:bookmarkStart w:id="2" w:name="_GoBack"/>
            <w:bookmarkEnd w:id="2"/>
            <w:r>
              <w:rPr>
                <w:rFonts w:hint="default" w:ascii="Times New Roman" w:hAnsi="Times New Roman" w:eastAsia="宋体" w:cs="Times New Roman"/>
                <w:sz w:val="24"/>
                <w:lang w:val="en-US" w:eastAsia="zh-CN"/>
              </w:rPr>
              <w:t>00000200809</w:t>
            </w:r>
          </w:p>
        </w:tc>
        <w:tc>
          <w:tcPr>
            <w:tcW w:w="2321" w:type="dxa"/>
            <w:tcBorders>
              <w:tl2br w:val="nil"/>
              <w:tr2bl w:val="nil"/>
            </w:tcBorders>
            <w:shd w:val="clear" w:color="auto" w:fill="FFFFFF"/>
            <w:vAlign w:val="center"/>
          </w:tcPr>
          <w:p w14:paraId="05E42F8E">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5"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27" w:type="dxa"/>
            <w:tcBorders>
              <w:tl2br w:val="nil"/>
              <w:tr2bl w:val="nil"/>
            </w:tcBorders>
            <w:shd w:val="clear" w:color="auto" w:fill="FFFFFF"/>
            <w:vAlign w:val="center"/>
          </w:tcPr>
          <w:p w14:paraId="5313DC72">
            <w:pPr>
              <w:spacing w:before="156" w:beforeLines="50" w:after="156" w:afterLines="50" w:line="400" w:lineRule="exact"/>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刘二平</w:t>
            </w:r>
          </w:p>
        </w:tc>
        <w:tc>
          <w:tcPr>
            <w:tcW w:w="5336" w:type="dxa"/>
            <w:tcBorders>
              <w:tl2br w:val="nil"/>
              <w:tr2bl w:val="nil"/>
            </w:tcBorders>
            <w:shd w:val="clear" w:color="auto" w:fill="FFFFFF"/>
            <w:vAlign w:val="center"/>
          </w:tcPr>
          <w:p w14:paraId="0A94E59E">
            <w:pPr>
              <w:spacing w:before="156" w:beforeLines="50" w:after="156" w:afterLines="50" w:line="400" w:lineRule="exact"/>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03320241036000000887</w:t>
            </w:r>
          </w:p>
        </w:tc>
        <w:tc>
          <w:tcPr>
            <w:tcW w:w="2321" w:type="dxa"/>
            <w:tcBorders>
              <w:tl2br w:val="nil"/>
              <w:tr2bl w:val="nil"/>
            </w:tcBorders>
            <w:shd w:val="clear" w:color="auto" w:fill="FFFFFF"/>
            <w:vAlign w:val="center"/>
          </w:tcPr>
          <w:p w14:paraId="4DD07733">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37250438462</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5"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827" w:type="dxa"/>
            <w:tcBorders>
              <w:tl2br w:val="nil"/>
              <w:tr2bl w:val="nil"/>
            </w:tcBorders>
            <w:shd w:val="clear" w:color="auto" w:fill="auto"/>
            <w:vAlign w:val="center"/>
          </w:tcPr>
          <w:p w14:paraId="2EB62A00">
            <w:pPr>
              <w:spacing w:before="156" w:beforeLines="50" w:after="156" w:afterLines="50" w:line="400" w:lineRule="exact"/>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蓝家财</w:t>
            </w:r>
          </w:p>
        </w:tc>
        <w:tc>
          <w:tcPr>
            <w:tcW w:w="5336" w:type="dxa"/>
            <w:tcBorders>
              <w:tl2br w:val="nil"/>
              <w:tr2bl w:val="nil"/>
            </w:tcBorders>
            <w:shd w:val="clear" w:color="auto" w:fill="FFFFFF"/>
            <w:vAlign w:val="center"/>
          </w:tcPr>
          <w:p w14:paraId="5559F345">
            <w:pPr>
              <w:spacing w:before="156" w:beforeLines="50" w:after="156" w:afterLines="50" w:line="400" w:lineRule="exact"/>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CAWS530000230200862</w:t>
            </w:r>
          </w:p>
        </w:tc>
        <w:tc>
          <w:tcPr>
            <w:tcW w:w="2321" w:type="dxa"/>
            <w:tcBorders>
              <w:tl2br w:val="nil"/>
              <w:tr2bl w:val="nil"/>
            </w:tcBorders>
            <w:shd w:val="clear" w:color="auto" w:fill="FFFFFF"/>
            <w:vAlign w:val="center"/>
          </w:tcPr>
          <w:p w14:paraId="4946EFE4">
            <w:pPr>
              <w:spacing w:before="156" w:beforeLines="50" w:after="156" w:afterLines="50" w:line="400" w:lineRule="exact"/>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5"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48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745"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48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2025年10月22日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745"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48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2025年10月24日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745"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484" w:type="dxa"/>
            <w:gridSpan w:val="3"/>
            <w:tcBorders>
              <w:tl2br w:val="nil"/>
              <w:tr2bl w:val="nil"/>
            </w:tcBorders>
            <w:shd w:val="clear" w:color="auto" w:fill="FFFFFF"/>
          </w:tcPr>
          <w:p w14:paraId="3DB82FC0">
            <w:pPr>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瑞金市红都加油站是从事成品油储存、经营的企业，位于江西省瑞金市象湖镇岗背村，是从事成品油经营的企业，投资人：钟姜，本站设有4台双枪加油机，埋地油罐3个，其中92#汽油30m³2台，1台30m</w:t>
            </w:r>
            <w:r>
              <w:rPr>
                <w:rFonts w:hint="eastAsia" w:ascii="宋体" w:hAnsi="宋体" w:eastAsia="宋体" w:cs="宋体"/>
                <w:sz w:val="24"/>
                <w:szCs w:val="32"/>
                <w:vertAlign w:val="superscript"/>
              </w:rPr>
              <w:t>3</w:t>
            </w:r>
            <w:r>
              <w:rPr>
                <w:rFonts w:hint="eastAsia" w:ascii="宋体" w:hAnsi="宋体" w:eastAsia="宋体" w:cs="宋体"/>
                <w:sz w:val="24"/>
                <w:szCs w:val="32"/>
              </w:rPr>
              <w:t>卧式分仓罐（0#柴油和95#各15m</w:t>
            </w:r>
            <w:r>
              <w:rPr>
                <w:rFonts w:hint="eastAsia" w:ascii="宋体" w:hAnsi="宋体" w:eastAsia="宋体" w:cs="宋体"/>
                <w:sz w:val="24"/>
                <w:szCs w:val="32"/>
                <w:vertAlign w:val="superscript"/>
              </w:rPr>
              <w:t>3</w:t>
            </w:r>
            <w:r>
              <w:rPr>
                <w:rFonts w:hint="eastAsia" w:ascii="宋体" w:hAnsi="宋体" w:eastAsia="宋体" w:cs="宋体"/>
                <w:sz w:val="24"/>
                <w:szCs w:val="32"/>
              </w:rPr>
              <w:t>），油罐总容积为90m³，柴油折半计入汽油后为82.5m³，该加油站经营规模为三级加油站</w:t>
            </w:r>
            <w:r>
              <w:rPr>
                <w:rFonts w:hint="eastAsia" w:ascii="宋体" w:hAnsi="宋体" w:eastAsia="宋体" w:cs="宋体"/>
                <w:sz w:val="24"/>
                <w:szCs w:val="32"/>
                <w:lang w:eastAsia="zh-CN"/>
              </w:rPr>
              <w:t>。</w:t>
            </w:r>
          </w:p>
          <w:p w14:paraId="34BA40C3">
            <w:pPr>
              <w:ind w:firstLine="480" w:firstLineChars="200"/>
              <w:rPr>
                <w:rFonts w:hint="eastAsia" w:ascii="宋体" w:hAnsi="宋体" w:eastAsia="宋体" w:cs="宋体"/>
                <w:sz w:val="24"/>
                <w:szCs w:val="32"/>
              </w:rPr>
            </w:pPr>
            <w:r>
              <w:rPr>
                <w:rFonts w:hint="eastAsia" w:ascii="宋体" w:hAnsi="宋体" w:eastAsia="宋体" w:cs="宋体"/>
                <w:sz w:val="24"/>
                <w:szCs w:val="32"/>
              </w:rPr>
              <w:t>2025年07月09日，该加油站更换了赣州市行政审批局颁发的《成品油零售经营批准证书》，证书编号为油零售证书第虔0061号。证书有效期：2025年08月14日至2030年08月13日。</w:t>
            </w:r>
          </w:p>
          <w:p w14:paraId="68534305">
            <w:pPr>
              <w:ind w:firstLine="480" w:firstLineChars="200"/>
              <w:rPr>
                <w:rFonts w:hint="eastAsia" w:ascii="宋体" w:hAnsi="宋体" w:eastAsia="宋体" w:cs="宋体"/>
                <w:sz w:val="24"/>
                <w:szCs w:val="32"/>
              </w:rPr>
            </w:pPr>
            <w:r>
              <w:rPr>
                <w:rFonts w:hint="eastAsia" w:ascii="宋体" w:hAnsi="宋体" w:eastAsia="宋体" w:cs="宋体"/>
                <w:sz w:val="24"/>
                <w:szCs w:val="32"/>
              </w:rPr>
              <w:t>2022年12月30日，该加油站更换了瑞金市行政审批局颁发的《危险化学品经营许可证》，证书编号：赣瑞行审经字[2022]000019，证书有效期2022年12月30日至2025年12月29日。许可经营范围：汽油、柴油。经营方式：零售。</w:t>
            </w:r>
          </w:p>
          <w:p w14:paraId="7BD65044">
            <w:pPr>
              <w:ind w:firstLine="480" w:firstLineChars="200"/>
              <w:rPr>
                <w:rFonts w:hint="eastAsia"/>
                <w:lang w:val="en-US" w:eastAsia="zh-CN"/>
              </w:rPr>
            </w:pPr>
            <w:r>
              <w:rPr>
                <w:rFonts w:hint="eastAsia" w:ascii="宋体" w:hAnsi="宋体" w:eastAsia="宋体" w:cs="宋体"/>
                <w:sz w:val="24"/>
                <w:szCs w:val="32"/>
              </w:rPr>
              <w:t>该站的危险化学品经营许可证于2025年12月29日到期</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申请延期换证。</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417" w:hRule="atLeast"/>
          <w:jc w:val="center"/>
        </w:trPr>
        <w:tc>
          <w:tcPr>
            <w:tcW w:w="745"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484" w:type="dxa"/>
            <w:gridSpan w:val="3"/>
            <w:tcBorders>
              <w:tl2br w:val="nil"/>
              <w:tr2bl w:val="nil"/>
            </w:tcBorders>
            <w:shd w:val="clear" w:color="auto" w:fill="FFFFFF"/>
          </w:tcPr>
          <w:p w14:paraId="1D805680">
            <w:pPr>
              <w:adjustRightInd w:val="0"/>
              <w:snapToGrid w:val="0"/>
              <w:spacing w:line="500" w:lineRule="exact"/>
              <w:ind w:firstLine="480" w:firstLineChars="200"/>
              <w:rPr>
                <w:rFonts w:ascii="Times New Roman" w:hAnsi="Times New Roman" w:eastAsia="宋体" w:cs="Times New Roman"/>
                <w:sz w:val="24"/>
                <w:szCs w:val="24"/>
              </w:rPr>
            </w:pPr>
            <w:bookmarkStart w:id="0" w:name="_Toc240859955"/>
            <w:r>
              <w:rPr>
                <w:rFonts w:ascii="Times New Roman" w:hAnsi="Times New Roman" w:eastAsia="宋体" w:cs="Times New Roman"/>
                <w:sz w:val="24"/>
                <w:szCs w:val="24"/>
              </w:rPr>
              <w:t>加油站经营</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汽油，其来料运输由专业汽油运输单位及车辆负责到站，加油站不负责化学品（汽油）的道路运输。其经营工艺如下：</w:t>
            </w:r>
          </w:p>
          <w:bookmarkEnd w:id="0"/>
          <w:p w14:paraId="74932C49">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1、卸油工艺</w:t>
            </w:r>
            <w:r>
              <w:rPr>
                <w:rFonts w:hint="eastAsia" w:ascii="Times New Roman" w:hAnsi="Times New Roman" w:eastAsia="宋体" w:cs="Times New Roman"/>
                <w:sz w:val="24"/>
                <w:szCs w:val="24"/>
              </w:rPr>
              <w:t>流程</w:t>
            </w:r>
          </w:p>
          <w:p w14:paraId="6D0E6849">
            <w:pPr>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该站采用密闭自流卸油方式。先检查静电接地装置是否完好，当油品用油罐车拉到加油站后，在卸油口附近停稳熄火，先用加油站的静电接地导线与油罐车的静电导出接点跨接在一起，静置5分钟后导除静电。然后用快速接头将油罐车的卸油软管与储油罐的快速密闭卸油口连接在一起，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6C6E7BD8">
            <w:pPr>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汽油卸油工艺框图如下：</w:t>
            </w:r>
          </w:p>
          <w:p w14:paraId="2A22818A">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szCs w:val="24"/>
              </w:rPr>
            </w:pPr>
            <w:r>
              <w:rPr>
                <w:rFonts w:ascii="Times New Roman" w:hAnsi="Times New Roman" w:eastAsia="宋体" w:cs="Times New Roman"/>
                <w:snapToGrid w:val="0"/>
                <w:kern w:val="0"/>
                <w:sz w:val="24"/>
                <w:szCs w:val="24"/>
                <w:lang w:val="zh-CN"/>
              </w:rPr>
              <w:object>
                <v:shape id="_x0000_i1025" o:spt="75" type="#_x0000_t75" style="height:83.25pt;width:384.75pt;" o:ole="t" filled="f" o:preferrelative="t" stroked="f" coordsize="21600,21600">
                  <v:path/>
                  <v:fill on="f" focussize="0,0"/>
                  <v:stroke on="f" joinstyle="miter"/>
                  <v:imagedata r:id="rId5" o:title=""/>
                  <o:lock v:ext="edit" aspectratio="f"/>
                  <w10:wrap type="none"/>
                  <w10:anchorlock/>
                </v:shape>
                <o:OLEObject Type="Embed" ProgID="Visio.Drawing.11" ShapeID="_x0000_i1025" DrawAspect="Content" ObjectID="_1468075725" r:id="rId4">
                  <o:LockedField>false</o:LockedField>
                </o:OLEObject>
              </w:object>
            </w:r>
          </w:p>
          <w:p w14:paraId="7095C08C">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柴油卸油工艺框图如下：</w:t>
            </w:r>
          </w:p>
          <w:p w14:paraId="6C1E80D7">
            <w:pPr>
              <w:suppressAutoHyphens/>
              <w:adjustRightInd w:val="0"/>
              <w:snapToGrid w:val="0"/>
              <w:spacing w:line="500" w:lineRule="exact"/>
              <w:ind w:firstLine="480" w:firstLineChars="200"/>
              <w:jc w:val="center"/>
              <w:textAlignment w:val="center"/>
              <w:rPr>
                <w:rFonts w:hint="eastAsia" w:ascii="宋体" w:hAnsi="宋体" w:eastAsia="宋体" w:cs="Tahoma"/>
                <w:kern w:val="28"/>
                <w:sz w:val="24"/>
                <w:szCs w:val="24"/>
              </w:rPr>
            </w:pPr>
            <w:bookmarkStart w:id="1" w:name="_Toc240859956"/>
            <w:r>
              <w:rPr>
                <w:rFonts w:ascii="Times New Roman" w:hAnsi="Times New Roman" w:eastAsia="宋体" w:cs="Times New Roman"/>
                <w:sz w:val="24"/>
                <w:szCs w:val="24"/>
              </w:rPr>
              <w:drawing>
                <wp:inline distT="0" distB="0" distL="0" distR="0">
                  <wp:extent cx="4923155" cy="403860"/>
                  <wp:effectExtent l="0" t="0" r="10795" b="152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23155" cy="403860"/>
                          </a:xfrm>
                          <a:prstGeom prst="rect">
                            <a:avLst/>
                          </a:prstGeom>
                          <a:noFill/>
                          <a:ln>
                            <a:noFill/>
                          </a:ln>
                        </pic:spPr>
                      </pic:pic>
                    </a:graphicData>
                  </a:graphic>
                </wp:inline>
              </w:drawing>
            </w:r>
          </w:p>
          <w:p w14:paraId="11815F70">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End w:id="1"/>
            <w:r>
              <w:rPr>
                <w:rFonts w:hint="eastAsia" w:ascii="Times New Roman" w:hAnsi="Times New Roman" w:eastAsia="宋体" w:cs="Times New Roman"/>
                <w:sz w:val="24"/>
                <w:szCs w:val="24"/>
              </w:rPr>
              <w:t>加油工艺流程</w:t>
            </w:r>
          </w:p>
          <w:p w14:paraId="7EAA5EE4">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加油作业时，采用潜油泵提供的动力，油品通过加油管道至加油机，油品通过加油管道至加油机，进入受油容器。同时，加汽油作业时，设有油气回收系统，汽油蒸汽通过油气回收管道回至汽油罐。</w:t>
            </w:r>
          </w:p>
          <w:p w14:paraId="3FF3F005">
            <w:pPr>
              <w:widowControl w:val="0"/>
              <w:tabs>
                <w:tab w:val="center" w:pos="4153"/>
                <w:tab w:val="right" w:pos="8306"/>
              </w:tabs>
              <w:adjustRightInd w:val="0"/>
              <w:snapToGrid w:val="0"/>
              <w:spacing w:line="500" w:lineRule="exact"/>
              <w:ind w:firstLine="480" w:firstLineChars="200"/>
              <w:jc w:val="left"/>
              <w:rPr>
                <w:rFonts w:ascii="Times New Roman" w:hAnsi="Times New Roman" w:eastAsia="宋体" w:cs="Times New Roman"/>
                <w:kern w:val="2"/>
                <w:sz w:val="24"/>
                <w:szCs w:val="24"/>
                <w:lang w:val="en-US" w:eastAsia="zh-CN" w:bidi="ar-SA"/>
              </w:rPr>
            </w:pPr>
          </w:p>
          <w:p w14:paraId="16C9E1C8">
            <w:pPr>
              <w:widowControl/>
              <w:adjustRightInd w:val="0"/>
              <w:snapToGrid w:val="0"/>
              <w:spacing w:before="100" w:beforeAutospacing="1" w:after="100" w:afterAutospacing="1" w:line="500" w:lineRule="exact"/>
              <w:ind w:firstLine="480" w:firstLineChars="200"/>
              <w:jc w:val="left"/>
              <w:rPr>
                <w:rFonts w:hint="eastAsia" w:ascii="宋体" w:hAnsi="宋体" w:eastAsia="宋体" w:cs="Times New Roman"/>
                <w:color w:val="000000"/>
                <w:kern w:val="0"/>
                <w:sz w:val="24"/>
                <w:szCs w:val="24"/>
                <w:lang w:val="en-US" w:eastAsia="zh-CN" w:bidi="ar-SA"/>
              </w:rPr>
            </w:pPr>
          </w:p>
          <w:p w14:paraId="7C01F812">
            <w:pPr>
              <w:wordWrap w:val="0"/>
              <w:ind w:left="2975"/>
              <w:jc w:val="both"/>
              <w:rPr>
                <w:rFonts w:ascii="Times New Roman" w:hAnsi="Times New Roman" w:eastAsia="宋体" w:cs="Times New Roman"/>
                <w:sz w:val="24"/>
                <w:szCs w:val="24"/>
                <w:lang w:val="en-US" w:eastAsia="zh-CN" w:bidi="ar-SA"/>
              </w:rPr>
            </w:pPr>
          </w:p>
          <w:p w14:paraId="7BC30758">
            <w:pPr>
              <w:adjustRightInd w:val="0"/>
              <w:snapToGrid w:val="0"/>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pict>
                <v:shape id="Object 117" o:spid="_x0000_s1027" o:spt="75" type="#_x0000_t75" style="position:absolute;left:0pt;margin-left:7.6pt;margin-top:17.25pt;height:196.2pt;width:406.85pt;z-index:251663360;mso-width-relative:page;mso-height-relative:page;" o:ole="t" filled="f" o:preferrelative="t" stroked="f" coordsize="21600,21600">
                  <v:path/>
                  <v:fill on="f" focussize="0,0"/>
                  <v:stroke on="f" joinstyle="miter"/>
                  <v:imagedata r:id="rId8" o:title=""/>
                  <o:lock v:ext="edit" aspectratio="f"/>
                </v:shape>
                <o:OLEObject Type="Embed" ProgID="Visio.Drawing.11" ShapeID="Object 117" DrawAspect="Content" ObjectID="_1468075726" r:id="rId7">
                  <o:LockedField>false</o:LockedField>
                </o:OLEObject>
              </w:pict>
            </w:r>
          </w:p>
          <w:p w14:paraId="5C5F4189">
            <w:pPr>
              <w:widowControl w:val="0"/>
              <w:tabs>
                <w:tab w:val="center" w:pos="4153"/>
                <w:tab w:val="right" w:pos="8306"/>
              </w:tabs>
              <w:adjustRightInd w:val="0"/>
              <w:snapToGrid w:val="0"/>
              <w:spacing w:line="500" w:lineRule="exact"/>
              <w:ind w:firstLine="480" w:firstLineChars="200"/>
              <w:jc w:val="left"/>
              <w:rPr>
                <w:rFonts w:ascii="Times New Roman" w:hAnsi="Times New Roman" w:eastAsia="宋体" w:cs="Times New Roman"/>
                <w:kern w:val="2"/>
                <w:sz w:val="24"/>
                <w:szCs w:val="24"/>
                <w:lang w:val="en-US" w:eastAsia="zh-CN" w:bidi="ar-SA"/>
              </w:rPr>
            </w:pPr>
          </w:p>
          <w:p w14:paraId="2CACF2C0">
            <w:pPr>
              <w:adjustRightInd w:val="0"/>
              <w:snapToGrid w:val="0"/>
              <w:spacing w:line="500" w:lineRule="exact"/>
              <w:ind w:firstLine="480" w:firstLineChars="200"/>
              <w:rPr>
                <w:rFonts w:ascii="Times New Roman" w:hAnsi="Times New Roman" w:eastAsia="宋体" w:cs="Times New Roman"/>
                <w:sz w:val="24"/>
                <w:szCs w:val="24"/>
              </w:rPr>
            </w:pPr>
          </w:p>
          <w:p w14:paraId="514A74BF">
            <w:pPr>
              <w:adjustRightInd w:val="0"/>
              <w:snapToGrid w:val="0"/>
              <w:spacing w:line="500" w:lineRule="exact"/>
              <w:ind w:firstLine="560" w:firstLineChars="200"/>
              <w:rPr>
                <w:rFonts w:ascii="Times New Roman" w:hAnsi="Times New Roman" w:eastAsia="宋体" w:cs="Times New Roman"/>
                <w:sz w:val="28"/>
              </w:rPr>
            </w:pPr>
          </w:p>
          <w:p w14:paraId="56F64623">
            <w:pPr>
              <w:ind w:firstLine="560"/>
            </w:pPr>
          </w:p>
          <w:p w14:paraId="482B3891">
            <w:pPr>
              <w:ind w:firstLine="560"/>
            </w:pPr>
          </w:p>
          <w:p w14:paraId="3D25FD4D">
            <w:pPr>
              <w:ind w:firstLine="560"/>
            </w:pPr>
          </w:p>
          <w:p w14:paraId="54CBFC36">
            <w:pPr>
              <w:pStyle w:val="9"/>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745"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48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1564A64D">
      <w:pPr>
        <w:rPr>
          <w:rFonts w:hint="eastAsia" w:eastAsia="宋体"/>
          <w:lang w:eastAsia="zh-CN"/>
        </w:rPr>
      </w:pPr>
      <w:r>
        <w:rPr>
          <w:rFonts w:hint="eastAsia" w:eastAsia="宋体"/>
          <w:lang w:eastAsia="zh-CN"/>
        </w:rPr>
        <w:drawing>
          <wp:inline distT="0" distB="0" distL="114300" distR="114300">
            <wp:extent cx="5233670" cy="3924935"/>
            <wp:effectExtent l="0" t="0" r="5080" b="18415"/>
            <wp:docPr id="1" name="图片 1" descr="IMG_20250830_18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830_185220"/>
                    <pic:cNvPicPr>
                      <a:picLocks noChangeAspect="1"/>
                    </pic:cNvPicPr>
                  </pic:nvPicPr>
                  <pic:blipFill>
                    <a:blip r:embed="rId9"/>
                    <a:stretch>
                      <a:fillRect/>
                    </a:stretch>
                  </pic:blipFill>
                  <pic:spPr>
                    <a:xfrm>
                      <a:off x="0" y="0"/>
                      <a:ext cx="5233670" cy="3924935"/>
                    </a:xfrm>
                    <a:prstGeom prst="rect">
                      <a:avLst/>
                    </a:prstGeom>
                  </pic:spPr>
                </pic:pic>
              </a:graphicData>
            </a:graphic>
          </wp:inline>
        </w:drawing>
      </w:r>
    </w:p>
    <w:p w14:paraId="6B305180">
      <w:pPr>
        <w:rPr>
          <w:rFonts w:hint="eastAsia" w:eastAsia="宋体"/>
          <w:lang w:eastAsia="zh-CN"/>
        </w:rPr>
      </w:pPr>
    </w:p>
    <w:p w14:paraId="13C1EE28">
      <w:pPr>
        <w:rPr>
          <w:rFonts w:hint="eastAsia"/>
          <w:lang w:eastAsia="zh-CN"/>
        </w:rPr>
      </w:pPr>
    </w:p>
    <w:p w14:paraId="58D3CBC5">
      <w:pPr>
        <w:rPr>
          <w:rFonts w:hint="eastAsia"/>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-38735</wp:posOffset>
            </wp:positionH>
            <wp:positionV relativeFrom="paragraph">
              <wp:posOffset>5080</wp:posOffset>
            </wp:positionV>
            <wp:extent cx="5233670" cy="3924935"/>
            <wp:effectExtent l="0" t="0" r="5080" b="18415"/>
            <wp:wrapNone/>
            <wp:docPr id="2" name="图片 2" descr="IMG_20250830_18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830_185143"/>
                    <pic:cNvPicPr>
                      <a:picLocks noChangeAspect="1"/>
                    </pic:cNvPicPr>
                  </pic:nvPicPr>
                  <pic:blipFill>
                    <a:blip r:embed="rId10"/>
                    <a:stretch>
                      <a:fillRect/>
                    </a:stretch>
                  </pic:blipFill>
                  <pic:spPr>
                    <a:xfrm>
                      <a:off x="0" y="0"/>
                      <a:ext cx="5233670" cy="3924935"/>
                    </a:xfrm>
                    <a:prstGeom prst="rect">
                      <a:avLst/>
                    </a:prstGeom>
                  </pic:spPr>
                </pic:pic>
              </a:graphicData>
            </a:graphic>
          </wp:anchor>
        </w:drawing>
      </w:r>
      <w:r>
        <w:rPr>
          <w:rFonts w:hint="eastAsia"/>
          <w:lang w:eastAsia="zh-CN"/>
        </w:rPr>
        <w:br w:type="page"/>
      </w: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3EE79A1A">
      <w:r>
        <w:drawing>
          <wp:inline distT="0" distB="0" distL="114300" distR="114300">
            <wp:extent cx="5762625" cy="8086090"/>
            <wp:effectExtent l="0" t="0" r="952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762625" cy="8086090"/>
                    </a:xfrm>
                    <a:prstGeom prst="rect">
                      <a:avLst/>
                    </a:prstGeom>
                    <a:noFill/>
                    <a:ln>
                      <a:noFill/>
                    </a:ln>
                  </pic:spPr>
                </pic:pic>
              </a:graphicData>
            </a:graphic>
          </wp:inline>
        </w:drawing>
      </w:r>
    </w:p>
    <w:p w14:paraId="012FAA69">
      <w:r>
        <w:br w:type="page"/>
      </w:r>
    </w:p>
    <w:p w14:paraId="6236FC4C">
      <w:r>
        <w:drawing>
          <wp:inline distT="0" distB="0" distL="114300" distR="114300">
            <wp:extent cx="5695315" cy="8129905"/>
            <wp:effectExtent l="0" t="0" r="635"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695315" cy="8129905"/>
                    </a:xfrm>
                    <a:prstGeom prst="rect">
                      <a:avLst/>
                    </a:prstGeom>
                    <a:noFill/>
                    <a:ln>
                      <a:noFill/>
                    </a:ln>
                  </pic:spPr>
                </pic:pic>
              </a:graphicData>
            </a:graphic>
          </wp:inline>
        </w:drawing>
      </w:r>
      <w:r>
        <w:br w:type="page"/>
      </w:r>
    </w:p>
    <w:p w14:paraId="74E6BE4A">
      <w:pPr>
        <w:rPr>
          <w:rFonts w:hint="eastAsia"/>
          <w:lang w:eastAsia="zh-CN"/>
        </w:rPr>
      </w:pPr>
      <w:r>
        <w:drawing>
          <wp:anchor distT="0" distB="0" distL="114300" distR="114300" simplePos="0" relativeHeight="251660288" behindDoc="0" locked="0" layoutInCell="1" allowOverlap="1">
            <wp:simplePos x="0" y="0"/>
            <wp:positionH relativeFrom="column">
              <wp:posOffset>-461010</wp:posOffset>
            </wp:positionH>
            <wp:positionV relativeFrom="paragraph">
              <wp:posOffset>29210</wp:posOffset>
            </wp:positionV>
            <wp:extent cx="6252210" cy="8395970"/>
            <wp:effectExtent l="0" t="0" r="15240" b="508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6252210" cy="8395970"/>
                    </a:xfrm>
                    <a:prstGeom prst="rect">
                      <a:avLst/>
                    </a:prstGeom>
                    <a:noFill/>
                    <a:ln>
                      <a:noFill/>
                    </a:ln>
                  </pic:spPr>
                </pic:pic>
              </a:graphicData>
            </a:graphic>
          </wp:anchor>
        </w:drawing>
      </w:r>
      <w:r>
        <w:rPr>
          <w:rFonts w:hint="eastAsia"/>
          <w:lang w:eastAsia="zh-CN"/>
        </w:rPr>
        <w:br w:type="page"/>
      </w:r>
    </w:p>
    <w:p w14:paraId="48489782">
      <w:pPr>
        <w:rPr>
          <w:rFonts w:hint="eastAsia"/>
          <w:lang w:eastAsia="zh-CN"/>
        </w:rPr>
      </w:pPr>
      <w:r>
        <w:drawing>
          <wp:anchor distT="0" distB="0" distL="114300" distR="114300" simplePos="0" relativeHeight="251661312" behindDoc="0" locked="0" layoutInCell="1" allowOverlap="1">
            <wp:simplePos x="0" y="0"/>
            <wp:positionH relativeFrom="column">
              <wp:posOffset>-327660</wp:posOffset>
            </wp:positionH>
            <wp:positionV relativeFrom="paragraph">
              <wp:posOffset>128905</wp:posOffset>
            </wp:positionV>
            <wp:extent cx="5876925" cy="8344535"/>
            <wp:effectExtent l="0" t="0" r="9525" b="1841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876925" cy="8344535"/>
                    </a:xfrm>
                    <a:prstGeom prst="rect">
                      <a:avLst/>
                    </a:prstGeom>
                    <a:noFill/>
                    <a:ln>
                      <a:noFill/>
                    </a:ln>
                  </pic:spPr>
                </pic:pic>
              </a:graphicData>
            </a:graphic>
          </wp:anchor>
        </w:drawing>
      </w:r>
    </w:p>
    <w:p w14:paraId="23F4E520">
      <w:pPr>
        <w:rPr>
          <w:rFonts w:hint="eastAsia"/>
          <w:lang w:eastAsia="zh-CN"/>
        </w:rPr>
      </w:pPr>
      <w:r>
        <w:rPr>
          <w:rFonts w:hint="eastAsia"/>
          <w:lang w:eastAsia="zh-CN"/>
        </w:rPr>
        <w:br w:type="page"/>
      </w:r>
    </w:p>
    <w:p w14:paraId="3063B77D">
      <w:pPr>
        <w:rPr>
          <w:rFonts w:hint="eastAsia"/>
          <w:lang w:eastAsia="zh-CN"/>
        </w:rPr>
      </w:pPr>
      <w:r>
        <w:drawing>
          <wp:anchor distT="0" distB="0" distL="114300" distR="114300" simplePos="0" relativeHeight="251662336" behindDoc="0" locked="0" layoutInCell="1" allowOverlap="1">
            <wp:simplePos x="0" y="0"/>
            <wp:positionH relativeFrom="column">
              <wp:posOffset>-464185</wp:posOffset>
            </wp:positionH>
            <wp:positionV relativeFrom="paragraph">
              <wp:posOffset>-8890</wp:posOffset>
            </wp:positionV>
            <wp:extent cx="6133465" cy="8696960"/>
            <wp:effectExtent l="0" t="0" r="635" b="889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6133465" cy="869696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DC2CF9"/>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66053B"/>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oleObject" Target="embeddings/Microsoft_Visio_2003-2010___2.vsd"/><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Microsoft_Visio_2003-2010___1.vsd"/><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974</Words>
  <Characters>1204</Characters>
  <Lines>8</Lines>
  <Paragraphs>2</Paragraphs>
  <TotalTime>0</TotalTime>
  <ScaleCrop>false</ScaleCrop>
  <LinksUpToDate>false</LinksUpToDate>
  <CharactersWithSpaces>1208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2025-11-14T08:01:54Z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291D5BBD6B4B47A3B495FBCC30081DF9_13</vt:lpwstr>
  </property>
  <property fmtid="{D5CDD505-2E9C-101B-9397-08002B2CF9AE}" pid="4" name="KSOTemplateDocerSaveRecord">
    <vt:lpwstr>eyJoZGlkIjoiNDgzMjdiZTZhYWEwMDUyMzMwMzdhZWM2ZmNjMGMzMDkiLCJ1c2VySWQiOiI1NzcyNjAwMzgifQ==</vt:lpwstr>
  </property>
</Properties>
</file>