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4359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安全评价报告公开信息表</w:t>
      </w:r>
    </w:p>
    <w:tbl>
      <w:tblPr>
        <w:tblStyle w:val="24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3"/>
        <w:gridCol w:w="1701"/>
        <w:gridCol w:w="4057"/>
        <w:gridCol w:w="2159"/>
      </w:tblGrid>
      <w:tr w14:paraId="577E1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D66B78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5C332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江西科翔实业有限公司废铜回收资源综合利用项目（一期工程年产2万吨粗铜二阶段）</w:t>
            </w:r>
            <w:r>
              <w:rPr>
                <w:rFonts w:ascii="Times New Roman" w:hAnsi="Times New Roman"/>
                <w:sz w:val="24"/>
              </w:rPr>
              <w:t>安全验收</w:t>
            </w:r>
            <w:r>
              <w:rPr>
                <w:rFonts w:hint="eastAsia" w:ascii="Times New Roman" w:hAnsi="Times New Roman"/>
                <w:sz w:val="24"/>
              </w:rPr>
              <w:t>评价</w:t>
            </w:r>
          </w:p>
        </w:tc>
      </w:tr>
      <w:tr w14:paraId="149B0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65A77D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2D731B8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</w:rPr>
              <w:t>2025年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10月29日</w:t>
            </w:r>
          </w:p>
        </w:tc>
      </w:tr>
      <w:tr w14:paraId="037EC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30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A90057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481C4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78C5A9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43B8D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6DEC7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资格证书号</w:t>
            </w:r>
            <w:bookmarkStart w:id="0" w:name="_GoBack"/>
            <w:bookmarkEnd w:id="0"/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6D6DDA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48703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F702F1C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项目负责人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DCC514B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szCs w:val="21"/>
              </w:rPr>
              <w:t>谢雨飞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575122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CAWS350000230200227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D0699C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043378</w:t>
            </w:r>
          </w:p>
        </w:tc>
      </w:tr>
      <w:tr w14:paraId="7D09F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313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486B5E5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项目组成员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FCBF87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szCs w:val="21"/>
              </w:rPr>
              <w:t>乔贯德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4C4D67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1700000000300087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42141A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030797</w:t>
            </w:r>
          </w:p>
        </w:tc>
      </w:tr>
      <w:tr w14:paraId="44C91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31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394800D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011A0F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szCs w:val="21"/>
              </w:rPr>
              <w:t>张志辉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C519927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S011011000110193000138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6D2FA1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038124</w:t>
            </w:r>
          </w:p>
        </w:tc>
      </w:tr>
      <w:tr w14:paraId="43F06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31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BAB98E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6D6F60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Times New Roman" w:hAnsi="Times New Roman"/>
                <w:szCs w:val="21"/>
              </w:rPr>
              <w:t>赵云峰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F569A34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1600000000200809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669F0B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030095</w:t>
            </w:r>
          </w:p>
        </w:tc>
      </w:tr>
      <w:tr w14:paraId="129E7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313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8E5E31D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46A0FB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Cs w:val="21"/>
              </w:rPr>
              <w:t>王静</w:t>
            </w:r>
          </w:p>
        </w:tc>
        <w:tc>
          <w:tcPr>
            <w:tcW w:w="405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9AA809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1800000000300838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2D157F">
            <w:pPr>
              <w:widowControl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hd w:val="clear" w:color="auto" w:fill="FFFFFF"/>
                <w:lang w:val="en-US" w:eastAsia="zh-CN"/>
              </w:rPr>
              <w:t>034276</w:t>
            </w:r>
          </w:p>
        </w:tc>
      </w:tr>
      <w:tr w14:paraId="406BA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A00AB8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C82CCD">
            <w:pPr>
              <w:adjustRightInd w:val="0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/</w:t>
            </w:r>
          </w:p>
        </w:tc>
      </w:tr>
      <w:tr w14:paraId="7D82E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E28F52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A12E87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谢雨飞、乔贯德2025年8月10日</w:t>
            </w:r>
          </w:p>
        </w:tc>
      </w:tr>
      <w:tr w14:paraId="0EE0D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E6E139">
            <w:pPr>
              <w:widowControl/>
              <w:spacing w:after="15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5B1928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谢雨飞、乔贯德2025年8月28日</w:t>
            </w:r>
          </w:p>
        </w:tc>
      </w:tr>
      <w:tr w14:paraId="2DA2F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CBEC0A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FD11522">
            <w:pPr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江西科翔实业有限公司成立于2007年，注册资金为1000万元人民币，法人代表为徐梦业，该公司主要以废杂铜、海绵铜、废铜泥等含铜废料为主要原料，采用竖炉熔炼、阳极精炼生产工艺，加工产品主要有粗铜和阳极铜，产品主要销售给江铜、大冶等大型铜企业。</w:t>
            </w:r>
          </w:p>
          <w:p w14:paraId="14754A31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该项目于2011年5月23日取得上饶市发展和政革委员会《关于江西科翔实业有限公司废铜回收资源综合利用项目备案的通知》（饶发改环资字[2011]69号）文件，项目分期建设；于2022年12月完成了《江西科翔实业有限公司废铜回收资源综合利用项目（一期工程年产2万吨粗铜）安全验收评价报告》；因原设计粗铜产能未达到2万吨，现设计新增1台富氧熔炼炉以达到2万吨粗铜产能，并于2025年5月完成了《江西科翔实业有限公司废铜回收资源综合利用项目（一期工程年产2万吨粗铜）安全设施设计变更》。</w:t>
            </w:r>
          </w:p>
          <w:p w14:paraId="11669AF7">
            <w:pPr>
              <w:adjustRightInd w:val="0"/>
              <w:snapToGrid w:val="0"/>
              <w:spacing w:line="360" w:lineRule="auto"/>
              <w:ind w:firstLine="480" w:firstLineChars="200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建设规模及内容：利用原有熔炼车间（1#厂房），新增1台富氧熔炼炉及配套的废气处理设备等，与已建的3台富氧熔炼炉（2#炉、3#炉、4#炉）形成年产2万吨粗铜的生产能力。</w:t>
            </w:r>
          </w:p>
          <w:p w14:paraId="27C78E18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验收结论：江西科翔实业有限公司废铜回收资源综合利用项目（一期工程年产2万吨粗铜二阶段）主体工程及与之配套的安全设施与设计专篇基本相符，符合国家有关安全生产的法律法规和技术标准；经安装、调试和试生产，系统各设备工作正常，项目中存在的危险有害因素基本得到控制，满足安全生产要求；该项目建设全过程基本实现了安全设施与主体工程同时设计、同时施工、同时投入生产和使用的要求。江西科翔实业有限公司废铜回收资源综合利用项目（一期工程年产2万吨粗铜二阶段）具备安全设施竣工验收条件。</w:t>
            </w:r>
          </w:p>
        </w:tc>
      </w:tr>
      <w:tr w14:paraId="35CCA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E87A80">
            <w:pPr>
              <w:widowControl/>
              <w:spacing w:after="1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工艺流程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516B6AE">
            <w:pPr>
              <w:pStyle w:val="13"/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工艺流程简述：</w:t>
            </w:r>
          </w:p>
          <w:p w14:paraId="1FDBAFA2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生产工艺：</w:t>
            </w:r>
          </w:p>
          <w:p w14:paraId="49ED9B44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1)制砖（原有生产工艺，不在本次验收范围内）：</w:t>
            </w:r>
          </w:p>
          <w:p w14:paraId="3B6A4922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外购铜泥、石灰约9:1的比例，在拌料场进行拌料和混匀，由于铜泥中含有水，加了石灰后，铜泥中的水与石灰反应生成氢氧化钙，从而增加了铜球的硬度，若含水量仍高，则加水泥固化，拌料后的原料运至制砖工序，制砖后送至原料堆自然干燥。</w:t>
            </w:r>
          </w:p>
          <w:p w14:paraId="3F7BD81C">
            <w:pPr>
              <w:adjustRightInd w:val="0"/>
              <w:snapToGrid w:val="0"/>
              <w:spacing w:line="360" w:lineRule="auto"/>
              <w:ind w:firstLine="480" w:firstLineChars="200"/>
              <w:rPr>
                <w:rFonts w:hint="eastAsia"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2)富氧熔炼（本次验收范围内）：</w:t>
            </w:r>
          </w:p>
          <w:p w14:paraId="194D1CED">
            <w:pPr>
              <w:pStyle w:val="13"/>
              <w:adjustRightInd w:val="0"/>
              <w:snapToGrid w:val="0"/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采用分层装料法，将铜料、焦炭、熔剂按配比要求，先后倒入富氧熔炼炉中，与从炉子下部风口鼓入的富氧空气相遇，入炉料由冷到热，到熔化，熔炼温度可达1250℃，氧气溶度控制在24-26%，反应生成熔融的铜及炉渣，在炉缸中分离，炉渣由上部的放渣口放出流入溜槽至渣模，倒渣场堆存，汽车运出外售。粗铜定期从炉缸放铜口放出，经溜槽流往平板车式浇铸机的铸模中铸成粗铜，冷却后脱模堆放。烟气进入除尘、脱硫系统和活性炭吸附装置处理合格后通过烟囱排入大气。</w:t>
            </w:r>
          </w:p>
          <w:p w14:paraId="4C2B579B">
            <w:pPr>
              <w:pStyle w:val="13"/>
              <w:adjustRightInd w:val="0"/>
              <w:snapToGrid w:val="0"/>
              <w:spacing w:line="360" w:lineRule="auto"/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0" distR="0">
                  <wp:extent cx="4622165" cy="4553585"/>
                  <wp:effectExtent l="0" t="0" r="698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57" cy="4557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47E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  <w:jc w:val="center"/>
        </w:trPr>
        <w:tc>
          <w:tcPr>
            <w:tcW w:w="131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81A79F9">
            <w:pPr>
              <w:widowControl/>
              <w:spacing w:after="15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7917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C5F4A9">
            <w:pPr>
              <w:widowControl/>
              <w:spacing w:after="150"/>
              <w:jc w:val="center"/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3BB0DFD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5025B0C">
      <w:pPr>
        <w:pStyle w:val="2"/>
      </w:pPr>
      <w:r>
        <w:drawing>
          <wp:inline distT="0" distB="0" distL="0" distR="0">
            <wp:extent cx="5274310" cy="3954145"/>
            <wp:effectExtent l="0" t="0" r="2540" b="8255"/>
            <wp:docPr id="6" name="图片 6" descr="图片包含 建筑, 户外, 前, 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建筑, 户外, 前, 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954145"/>
            <wp:effectExtent l="0" t="0" r="2540" b="8255"/>
            <wp:docPr id="13" name="图片 13" descr="一群人站在建筑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群人站在建筑前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0700">
      <w:pPr>
        <w:pStyle w:val="3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4F262DA">
      <w:pPr>
        <w:pStyle w:val="2"/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drawing>
          <wp:inline distT="0" distB="0" distL="0" distR="0">
            <wp:extent cx="3923665" cy="5233670"/>
            <wp:effectExtent l="0" t="0" r="635" b="5080"/>
            <wp:docPr id="3" name="图片 3" descr="一群人站在建筑旁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群人站在建筑旁边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941" cy="52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28110" cy="5239385"/>
            <wp:effectExtent l="0" t="0" r="0" b="0"/>
            <wp:docPr id="4" name="图片 4" descr="一些人站在室内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些人站在室内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179" cy="52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4634">
      <w:pPr>
        <w:pStyle w:val="4"/>
      </w:pPr>
      <w:r>
        <w:drawing>
          <wp:inline distT="0" distB="0" distL="0" distR="0">
            <wp:extent cx="5274310" cy="7477760"/>
            <wp:effectExtent l="0" t="0" r="2540" b="8890"/>
            <wp:docPr id="14" name="图片 1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手机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7477760"/>
            <wp:effectExtent l="0" t="0" r="2540" b="8890"/>
            <wp:docPr id="15" name="图片 1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7477760"/>
            <wp:effectExtent l="0" t="0" r="2540" b="8890"/>
            <wp:docPr id="16" name="图片 16" descr="图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7477760"/>
            <wp:effectExtent l="0" t="0" r="2540" b="8890"/>
            <wp:docPr id="17" name="图片 1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5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0E357B"/>
    <w:rsid w:val="001A0895"/>
    <w:rsid w:val="00220F1E"/>
    <w:rsid w:val="00266F0E"/>
    <w:rsid w:val="00272A14"/>
    <w:rsid w:val="002A7AC8"/>
    <w:rsid w:val="00303C12"/>
    <w:rsid w:val="003A7C06"/>
    <w:rsid w:val="004340C8"/>
    <w:rsid w:val="004D1AF7"/>
    <w:rsid w:val="004E2F60"/>
    <w:rsid w:val="00553766"/>
    <w:rsid w:val="005858BE"/>
    <w:rsid w:val="00664D2A"/>
    <w:rsid w:val="00756850"/>
    <w:rsid w:val="007A2261"/>
    <w:rsid w:val="007D4F3A"/>
    <w:rsid w:val="00802085"/>
    <w:rsid w:val="008858A0"/>
    <w:rsid w:val="008F01AE"/>
    <w:rsid w:val="00AD399B"/>
    <w:rsid w:val="00B31E5B"/>
    <w:rsid w:val="00B816EA"/>
    <w:rsid w:val="00C75118"/>
    <w:rsid w:val="00C82162"/>
    <w:rsid w:val="00D40559"/>
    <w:rsid w:val="00D64050"/>
    <w:rsid w:val="00D82410"/>
    <w:rsid w:val="00D82741"/>
    <w:rsid w:val="00E3751A"/>
    <w:rsid w:val="00F73822"/>
    <w:rsid w:val="00FA5CAB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EF6353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A0E1339"/>
    <w:rsid w:val="0A173A74"/>
    <w:rsid w:val="0A4F7A65"/>
    <w:rsid w:val="0BC750FD"/>
    <w:rsid w:val="0D073DB5"/>
    <w:rsid w:val="0D081033"/>
    <w:rsid w:val="0E564C35"/>
    <w:rsid w:val="0EC817E1"/>
    <w:rsid w:val="0F1C6141"/>
    <w:rsid w:val="0FFD1618"/>
    <w:rsid w:val="10806817"/>
    <w:rsid w:val="10A546BD"/>
    <w:rsid w:val="10AE1BD9"/>
    <w:rsid w:val="10D96D50"/>
    <w:rsid w:val="13FA1B12"/>
    <w:rsid w:val="141C622E"/>
    <w:rsid w:val="147F5532"/>
    <w:rsid w:val="1548693F"/>
    <w:rsid w:val="156C314D"/>
    <w:rsid w:val="15CB68F5"/>
    <w:rsid w:val="16B10157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96748BA"/>
    <w:rsid w:val="396D1A77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AA5264"/>
    <w:rsid w:val="65BD6D5B"/>
    <w:rsid w:val="66C53C4A"/>
    <w:rsid w:val="673B297E"/>
    <w:rsid w:val="678F323C"/>
    <w:rsid w:val="68233EA0"/>
    <w:rsid w:val="68A30209"/>
    <w:rsid w:val="68C86C57"/>
    <w:rsid w:val="6AA57F27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6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7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8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next w:val="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4">
    <w:name w:val="toc 84"/>
    <w:next w:val="1"/>
    <w:autoRedefine/>
    <w:qFormat/>
    <w:uiPriority w:val="0"/>
    <w:pPr>
      <w:wordWrap w:val="0"/>
      <w:adjustRightInd w:val="0"/>
      <w:snapToGrid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9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10">
    <w:name w:val="Body Text"/>
    <w:basedOn w:val="1"/>
    <w:autoRedefine/>
    <w:qFormat/>
    <w:uiPriority w:val="99"/>
    <w:rPr>
      <w:sz w:val="28"/>
      <w:szCs w:val="28"/>
    </w:rPr>
  </w:style>
  <w:style w:type="paragraph" w:styleId="11">
    <w:name w:val="Body Text Indent"/>
    <w:basedOn w:val="1"/>
    <w:next w:val="12"/>
    <w:unhideWhenUsed/>
    <w:qFormat/>
    <w:uiPriority w:val="99"/>
    <w:pPr>
      <w:spacing w:after="120"/>
      <w:ind w:left="420" w:leftChars="200"/>
    </w:pPr>
  </w:style>
  <w:style w:type="paragraph" w:styleId="12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3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4">
    <w:name w:val="Date"/>
    <w:basedOn w:val="1"/>
    <w:next w:val="1"/>
    <w:link w:val="49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5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6">
    <w:name w:val="Balloon Text"/>
    <w:basedOn w:val="1"/>
    <w:link w:val="35"/>
    <w:autoRedefine/>
    <w:qFormat/>
    <w:uiPriority w:val="0"/>
    <w:rPr>
      <w:sz w:val="18"/>
      <w:szCs w:val="18"/>
    </w:rPr>
  </w:style>
  <w:style w:type="paragraph" w:styleId="1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List"/>
    <w:basedOn w:val="1"/>
    <w:next w:val="1"/>
    <w:qFormat/>
    <w:uiPriority w:val="99"/>
    <w:pPr>
      <w:spacing w:line="400" w:lineRule="atLeast"/>
    </w:pPr>
    <w:rPr>
      <w:szCs w:val="20"/>
    </w:rPr>
  </w:style>
  <w:style w:type="paragraph" w:styleId="20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1">
    <w:name w:val="Body Text First Indent"/>
    <w:basedOn w:val="10"/>
    <w:next w:val="1"/>
    <w:qFormat/>
    <w:uiPriority w:val="0"/>
    <w:pPr>
      <w:spacing w:after="120"/>
      <w:ind w:firstLine="420" w:firstLineChars="100"/>
    </w:pPr>
  </w:style>
  <w:style w:type="paragraph" w:styleId="22">
    <w:name w:val="Body Text First Indent 2"/>
    <w:basedOn w:val="11"/>
    <w:next w:val="23"/>
    <w:unhideWhenUsed/>
    <w:qFormat/>
    <w:uiPriority w:val="99"/>
    <w:pPr>
      <w:ind w:firstLine="420" w:firstLineChars="200"/>
    </w:pPr>
  </w:style>
  <w:style w:type="paragraph" w:customStyle="1" w:styleId="23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6">
    <w:name w:val="Default"/>
    <w:basedOn w:val="27"/>
    <w:next w:val="19"/>
    <w:autoRedefine/>
    <w:qFormat/>
    <w:uiPriority w:val="0"/>
    <w:pPr>
      <w:autoSpaceDE w:val="0"/>
      <w:autoSpaceDN w:val="0"/>
    </w:pPr>
    <w:rPr>
      <w:rFonts w:hint="eastAsia"/>
      <w:sz w:val="24"/>
    </w:rPr>
  </w:style>
  <w:style w:type="paragraph" w:customStyle="1" w:styleId="27">
    <w:name w:val="纯文本1"/>
    <w:basedOn w:val="1"/>
    <w:qFormat/>
    <w:uiPriority w:val="0"/>
    <w:rPr>
      <w:rFonts w:ascii="宋体" w:hAnsi="Courier New"/>
      <w:kern w:val="0"/>
      <w:szCs w:val="20"/>
    </w:rPr>
  </w:style>
  <w:style w:type="paragraph" w:customStyle="1" w:styleId="28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29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0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1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2">
    <w:name w:val="样式 标题 2"/>
    <w:basedOn w:val="6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3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5">
    <w:name w:val="批注框文本 字符"/>
    <w:basedOn w:val="25"/>
    <w:link w:val="16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6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7">
    <w:name w:val="表头 Char Char Char"/>
    <w:basedOn w:val="25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8">
    <w:name w:val="表格居中"/>
    <w:basedOn w:val="39"/>
    <w:autoRedefine/>
    <w:qFormat/>
    <w:uiPriority w:val="0"/>
    <w:pPr>
      <w:jc w:val="center"/>
    </w:pPr>
  </w:style>
  <w:style w:type="paragraph" w:customStyle="1" w:styleId="39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0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1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2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3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4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5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6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7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8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9">
    <w:name w:val="日期 字符"/>
    <w:basedOn w:val="25"/>
    <w:link w:val="14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9</Pages>
  <Words>1198</Words>
  <Characters>1359</Characters>
  <Lines>10</Lines>
  <Paragraphs>2</Paragraphs>
  <TotalTime>0</TotalTime>
  <ScaleCrop>false</ScaleCrop>
  <LinksUpToDate>false</LinksUpToDate>
  <CharactersWithSpaces>1362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2025-11-14T07:47:52Z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476746B9C2704FF79856239AD7BE6205_13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