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安福县新居加油站安全现状评价报告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9</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14:paraId="2E22371D">
            <w:pPr>
              <w:spacing w:before="190" w:beforeLines="50" w:after="190" w:afterLines="50" w:line="240" w:lineRule="auto"/>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S011041000110192</w:t>
            </w:r>
          </w:p>
          <w:p w14:paraId="268D4CC4">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002229</w:t>
            </w:r>
          </w:p>
        </w:tc>
        <w:tc>
          <w:tcPr>
            <w:tcW w:w="2115" w:type="dxa"/>
            <w:tcBorders>
              <w:tl2br w:val="nil"/>
              <w:tr2bl w:val="nil"/>
            </w:tcBorders>
            <w:shd w:val="clear" w:color="auto" w:fill="FFFFFF"/>
            <w:vAlign w:val="center"/>
          </w:tcPr>
          <w:p w14:paraId="5954E4E9">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018803</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赵云峰</w:t>
            </w:r>
          </w:p>
        </w:tc>
        <w:tc>
          <w:tcPr>
            <w:tcW w:w="4803" w:type="dxa"/>
            <w:tcBorders>
              <w:tl2br w:val="nil"/>
              <w:tr2bl w:val="nil"/>
            </w:tcBorders>
            <w:shd w:val="clear" w:color="auto" w:fill="FFFFFF"/>
            <w:vAlign w:val="center"/>
          </w:tcPr>
          <w:p w14:paraId="404CC542">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1600000000200809</w:t>
            </w:r>
            <w:bookmarkStart w:id="0" w:name="_GoBack"/>
            <w:bookmarkEnd w:id="0"/>
          </w:p>
        </w:tc>
        <w:tc>
          <w:tcPr>
            <w:tcW w:w="2115" w:type="dxa"/>
            <w:tcBorders>
              <w:tl2br w:val="nil"/>
              <w:tr2bl w:val="nil"/>
            </w:tcBorders>
            <w:shd w:val="clear" w:color="auto" w:fill="FFFFFF"/>
            <w:vAlign w:val="center"/>
          </w:tcPr>
          <w:p w14:paraId="782951DB">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030095</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3F218D8D">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1100000000302946</w:t>
            </w:r>
          </w:p>
        </w:tc>
        <w:tc>
          <w:tcPr>
            <w:tcW w:w="2115" w:type="dxa"/>
            <w:tcBorders>
              <w:tl2br w:val="nil"/>
              <w:tr2bl w:val="nil"/>
            </w:tcBorders>
            <w:shd w:val="clear" w:color="auto" w:fill="FFFFFF"/>
            <w:vAlign w:val="center"/>
          </w:tcPr>
          <w:p w14:paraId="0F0D8BA0">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020045</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舒斌</w:t>
            </w:r>
          </w:p>
        </w:tc>
        <w:tc>
          <w:tcPr>
            <w:tcW w:w="4803" w:type="dxa"/>
            <w:tcBorders>
              <w:tl2br w:val="nil"/>
              <w:tr2bl w:val="nil"/>
            </w:tcBorders>
            <w:shd w:val="clear" w:color="auto" w:fill="FFFFFF"/>
            <w:vAlign w:val="center"/>
          </w:tcPr>
          <w:p w14:paraId="3AFA1E3D">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0800000000205889</w:t>
            </w:r>
          </w:p>
        </w:tc>
        <w:tc>
          <w:tcPr>
            <w:tcW w:w="2115" w:type="dxa"/>
            <w:tcBorders>
              <w:tl2br w:val="nil"/>
              <w:tr2bl w:val="nil"/>
            </w:tcBorders>
            <w:shd w:val="clear" w:color="auto" w:fill="FFFFFF"/>
            <w:vAlign w:val="center"/>
          </w:tcPr>
          <w:p w14:paraId="40BC393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013031</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cs="宋体"/>
                <w:color w:val="000000"/>
                <w:sz w:val="24"/>
                <w:szCs w:val="24"/>
                <w:lang w:val="en-US" w:eastAsia="zh-CN"/>
              </w:rPr>
              <w:t>乔贯德</w:t>
            </w:r>
          </w:p>
        </w:tc>
        <w:tc>
          <w:tcPr>
            <w:tcW w:w="4803" w:type="dxa"/>
            <w:tcBorders>
              <w:tl2br w:val="nil"/>
              <w:tr2bl w:val="nil"/>
            </w:tcBorders>
            <w:shd w:val="clear" w:color="auto" w:fill="FFFFFF"/>
            <w:vAlign w:val="center"/>
          </w:tcPr>
          <w:p w14:paraId="331FAC5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1700000000300087</w:t>
            </w:r>
          </w:p>
        </w:tc>
        <w:tc>
          <w:tcPr>
            <w:tcW w:w="2115" w:type="dxa"/>
            <w:tcBorders>
              <w:tl2br w:val="nil"/>
              <w:tr2bl w:val="nil"/>
            </w:tcBorders>
            <w:shd w:val="clear" w:color="auto" w:fill="FFFFFF"/>
            <w:vAlign w:val="center"/>
          </w:tcPr>
          <w:p w14:paraId="23566468">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030797</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cs="宋体"/>
                <w:color w:val="000000"/>
                <w:sz w:val="24"/>
                <w:szCs w:val="24"/>
                <w:lang w:val="en-US" w:eastAsia="zh-CN"/>
              </w:rPr>
              <w:t>乔贯德</w:t>
            </w:r>
            <w:r>
              <w:rPr>
                <w:rFonts w:hint="eastAsia"/>
                <w:sz w:val="24"/>
              </w:rPr>
              <w:t>202</w:t>
            </w:r>
            <w:r>
              <w:rPr>
                <w:rFonts w:hint="eastAsia"/>
                <w:sz w:val="24"/>
                <w:lang w:val="en-US" w:eastAsia="zh-CN"/>
              </w:rPr>
              <w:t>5</w:t>
            </w:r>
            <w:r>
              <w:rPr>
                <w:rFonts w:hint="eastAsia"/>
                <w:sz w:val="24"/>
              </w:rPr>
              <w:t>.</w:t>
            </w:r>
            <w:r>
              <w:rPr>
                <w:rFonts w:hint="eastAsia"/>
                <w:sz w:val="24"/>
                <w:lang w:val="en-US" w:eastAsia="zh-CN"/>
              </w:rPr>
              <w:t>8</w:t>
            </w:r>
            <w:r>
              <w:rPr>
                <w:rFonts w:hint="eastAsia"/>
                <w:sz w:val="24"/>
              </w:rPr>
              <w:t>.</w:t>
            </w:r>
            <w:r>
              <w:rPr>
                <w:rFonts w:hint="eastAsia"/>
                <w:sz w:val="24"/>
                <w:lang w:val="en-US" w:eastAsia="zh-CN"/>
              </w:rPr>
              <w:t>12</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cs="宋体"/>
                <w:color w:val="000000"/>
                <w:sz w:val="24"/>
                <w:szCs w:val="24"/>
                <w:lang w:val="en-US" w:eastAsia="zh-CN"/>
              </w:rPr>
              <w:t>乔贯德</w:t>
            </w:r>
            <w:r>
              <w:rPr>
                <w:rFonts w:hint="eastAsia"/>
                <w:sz w:val="24"/>
              </w:rPr>
              <w:t>202</w:t>
            </w:r>
            <w:r>
              <w:rPr>
                <w:rFonts w:hint="eastAsia"/>
                <w:sz w:val="24"/>
                <w:lang w:val="en-US" w:eastAsia="zh-CN"/>
              </w:rPr>
              <w:t>5</w:t>
            </w:r>
            <w:r>
              <w:rPr>
                <w:rFonts w:hint="eastAsia"/>
                <w:sz w:val="24"/>
              </w:rPr>
              <w:t>.</w:t>
            </w:r>
            <w:r>
              <w:rPr>
                <w:rFonts w:hint="eastAsia"/>
                <w:sz w:val="24"/>
                <w:lang w:val="en-US" w:eastAsia="zh-CN"/>
              </w:rPr>
              <w:t>9</w:t>
            </w:r>
            <w:r>
              <w:rPr>
                <w:rFonts w:hint="eastAsia"/>
                <w:sz w:val="24"/>
              </w:rPr>
              <w:t>.</w:t>
            </w:r>
            <w:r>
              <w:rPr>
                <w:rFonts w:hint="eastAsia"/>
                <w:sz w:val="24"/>
                <w:lang w:val="en-US" w:eastAsia="zh-CN"/>
              </w:rPr>
              <w:t>17</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A4A54CE">
            <w:pPr>
              <w:rPr>
                <w:rFonts w:hint="eastAsia"/>
                <w:snapToGrid w:val="0"/>
              </w:rPr>
            </w:pPr>
            <w:r>
              <w:rPr>
                <w:rFonts w:hint="eastAsia"/>
                <w:snapToGrid w:val="0"/>
              </w:rPr>
              <w:t>安福县新居加油站（简称“该加油站”）于2001年9月注册成立。主营产品是汽油和柴油。</w:t>
            </w:r>
          </w:p>
          <w:p w14:paraId="6E2D2C85">
            <w:pPr>
              <w:rPr>
                <w:rFonts w:hint="eastAsia"/>
                <w:snapToGrid w:val="0"/>
              </w:rPr>
            </w:pPr>
            <w:r>
              <w:rPr>
                <w:rFonts w:hint="eastAsia"/>
                <w:snapToGrid w:val="0"/>
              </w:rPr>
              <w:t>该加油站位于江西省吉安市安福县洋溪镇新居村，法定代表人为郁铁钢。安福县市场监督管理局办理营业执照（统一社会信用代码：9136082973917501X0），并已取得江西省商务厅颁发的成品油经营许可证（油零售证书第吉0192号）及安福县应急管理局颁发的危险化学品经营许可证{赣吉安经（甲）〔2014〕000021号}。</w:t>
            </w:r>
          </w:p>
          <w:p w14:paraId="55E7B7CB">
            <w:pPr>
              <w:rPr>
                <w:rFonts w:hint="eastAsia"/>
              </w:rPr>
            </w:pPr>
            <w:r>
              <w:rPr>
                <w:rFonts w:hint="eastAsia"/>
                <w:snapToGrid w:val="0"/>
              </w:rPr>
              <w:t>该加油站有2台加油机，有3个油罐，容量分别是20m³的92#汽油储罐1个、20m³0#柴油储罐2个，油品储量折算为40m³（柴油折半计算）。站内职工人员5人。按照《汽车加油加气加氢站技术标准》（GB50156-2021）中对加油站等级的划分，该加油站为三级加油站。</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0E8DABBC">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该站采用国内成熟的工艺设备，“三废”排放量少，可达标排放，对环境影响较小。卸油、加油油气回收系统和加油工艺，具体工艺如下：</w:t>
            </w:r>
          </w:p>
          <w:p w14:paraId="4505D58E">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1）卸油油气回收工艺</w:t>
            </w:r>
          </w:p>
          <w:p w14:paraId="08DA6823">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在油罐车卸油过程中，储油车内压力建减小，地下储罐内压力增加，地下储罐与油罐车内的压力差，使卸油过程中挥发的油气通过管线回到油罐车内，达到油气收集的目的。待卸油结束，地下储罐与油罐车内压力达到平衡状态，卸油油气回收阶段结束。</w:t>
            </w:r>
          </w:p>
          <w:p w14:paraId="6FFF68DC">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2）加油油气回收工艺</w:t>
            </w:r>
          </w:p>
          <w:p w14:paraId="367B604E">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该加油站采用自吸泵加油方式加油，在为汽车加油过程中，通过真空泵产生一定真空度，经过加油枪、油气回收管、真空泵等油气回收设备，按照气液比控制在 1.0 至 1.2 之间的要求，将加油过程中挥发的油气回收到油罐内。</w:t>
            </w:r>
          </w:p>
          <w:p w14:paraId="1A783E7E">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（3）加油工艺</w:t>
            </w:r>
          </w:p>
          <w:p w14:paraId="665631A2">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汽油、柴油卸油采用油品从罐车自流卸入储油罐。加油采用自吸泵加油方式，其工艺流程如下:</w:t>
            </w:r>
          </w:p>
          <w:p w14:paraId="57C9E525">
            <w:pPr>
              <w:pStyle w:val="6"/>
              <w:snapToGrid w:val="0"/>
              <w:spacing w:line="360" w:lineRule="auto"/>
              <w:ind w:firstLine="417" w:firstLineChars="199"/>
              <w:rPr>
                <w:rFonts w:hint="eastAsia" w:ascii="Calibri" w:hAnsi="Calibri" w:eastAsia="宋体" w:cs="Times New Roman"/>
                <w:snapToGrid w:val="0"/>
                <w:kern w:val="2"/>
                <w:sz w:val="21"/>
                <w:szCs w:val="24"/>
                <w:lang w:val="en-US" w:eastAsia="zh-CN" w:bidi="ar-SA"/>
              </w:rPr>
            </w:pPr>
            <w:r>
              <w:rPr>
                <w:rFonts w:hint="eastAsia" w:ascii="Calibri" w:hAnsi="Calibri" w:eastAsia="宋体" w:cs="Times New Roman"/>
                <w:snapToGrid w:val="0"/>
                <w:kern w:val="2"/>
                <w:sz w:val="21"/>
                <w:szCs w:val="24"/>
                <w:lang w:val="en-US" w:eastAsia="zh-CN" w:bidi="ar-SA"/>
              </w:rPr>
              <w:t>该站采用的工艺不是《关于公布首批重点监管的危险化工工艺目录的通知》（原国家安全生产监督管理总局安监总管三〔2009〕116号）、《国家安全监管总局关于公布第二批重点监管的危险化工工艺目录和调整首批重点监管危险化工工艺中部分典型工艺的通知》（安监总管三〔2013〕3号）中规定的重点监管的危险工艺。</w:t>
            </w:r>
          </w:p>
          <w:p w14:paraId="12D1D1BF">
            <w:pPr>
              <w:pStyle w:val="16"/>
              <w:spacing w:before="0" w:beforeAutospacing="0" w:after="0" w:afterAutospacing="0"/>
              <w:rPr>
                <w:rFonts w:ascii="宋体" w:hAnsi="宋体" w:cs="宋体"/>
                <w:snapToGrid w:val="0"/>
                <w:kern w:val="0"/>
                <w:szCs w:val="21"/>
              </w:rPr>
            </w:pPr>
            <w:r>
              <w:rPr>
                <w:rFonts w:hint="eastAsia"/>
                <w:bCs/>
                <w:color w:val="auto"/>
                <w:sz w:val="21"/>
                <w:szCs w:val="21"/>
              </w:rPr>
              <w:t>。</w:t>
            </w: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p>
    <w:p w14:paraId="0E5298BF"/>
    <w:p w14:paraId="4223652F"/>
    <w:p w14:paraId="2A512B2C"/>
    <w:p w14:paraId="550F72D5">
      <w:pPr>
        <w:rPr>
          <w:rFonts w:hint="eastAsia" w:eastAsia="宋体"/>
          <w:lang w:eastAsia="zh-CN"/>
        </w:rPr>
      </w:pPr>
      <w:r>
        <w:rPr>
          <w:rFonts w:hint="eastAsia" w:eastAsia="宋体"/>
          <w:lang w:eastAsia="zh-CN"/>
        </w:rPr>
        <w:drawing>
          <wp:inline distT="0" distB="0" distL="114300" distR="114300">
            <wp:extent cx="5262880" cy="7019925"/>
            <wp:effectExtent l="0" t="0" r="13970" b="952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4"/>
                    <a:stretch>
                      <a:fillRect/>
                    </a:stretch>
                  </pic:blipFill>
                  <pic:spPr>
                    <a:xfrm>
                      <a:off x="0" y="0"/>
                      <a:ext cx="5262880" cy="7019925"/>
                    </a:xfrm>
                    <a:prstGeom prst="rect">
                      <a:avLst/>
                    </a:prstGeom>
                  </pic:spPr>
                </pic:pic>
              </a:graphicData>
            </a:graphic>
          </wp:inline>
        </w:drawing>
      </w:r>
      <w:r>
        <w:rPr>
          <w:rFonts w:hint="eastAsia" w:eastAsia="宋体"/>
          <w:lang w:eastAsia="zh-CN"/>
        </w:rPr>
        <w:drawing>
          <wp:inline distT="0" distB="0" distL="114300" distR="114300">
            <wp:extent cx="5262880" cy="7019925"/>
            <wp:effectExtent l="0" t="0" r="13970" b="952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5262880" cy="7019925"/>
                    </a:xfrm>
                    <a:prstGeom prst="rect">
                      <a:avLst/>
                    </a:prstGeom>
                  </pic:spPr>
                </pic:pic>
              </a:graphicData>
            </a:graphic>
          </wp:inline>
        </w:drawing>
      </w:r>
    </w:p>
    <w:p w14:paraId="44D6F4B2"/>
    <w:p w14:paraId="7D6C13BF"/>
    <w:p w14:paraId="22AF1EED"/>
    <w:p w14:paraId="3601A34F"/>
    <w:p w14:paraId="795F8353"/>
    <w:p w14:paraId="6004ECD9"/>
    <w:p w14:paraId="4521D7C1"/>
    <w:p w14:paraId="1FF13339">
      <w:pPr>
        <w:jc w:val="both"/>
      </w:pPr>
    </w:p>
    <w:p w14:paraId="32057267">
      <w:pPr>
        <w:jc w:val="both"/>
        <w:rPr>
          <w:rFonts w:hint="eastAsia" w:eastAsia="宋体"/>
          <w:lang w:eastAsia="zh-CN"/>
        </w:rPr>
      </w:pPr>
      <w:r>
        <w:rPr>
          <w:rFonts w:hint="eastAsia" w:eastAsia="宋体"/>
          <w:lang w:eastAsia="zh-CN"/>
        </w:rPr>
        <w:drawing>
          <wp:inline distT="0" distB="0" distL="114300" distR="114300">
            <wp:extent cx="5274310" cy="7464425"/>
            <wp:effectExtent l="0" t="0" r="2540" b="3175"/>
            <wp:docPr id="8" name="图片 8" descr="DOC102325-1023202522004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102325-10232025220046_01"/>
                    <pic:cNvPicPr>
                      <a:picLocks noChangeAspect="1"/>
                    </pic:cNvPicPr>
                  </pic:nvPicPr>
                  <pic:blipFill>
                    <a:blip r:embed="rId6"/>
                    <a:stretch>
                      <a:fillRect/>
                    </a:stretch>
                  </pic:blipFill>
                  <pic:spPr>
                    <a:xfrm>
                      <a:off x="0" y="0"/>
                      <a:ext cx="5274310" cy="7464425"/>
                    </a:xfrm>
                    <a:prstGeom prst="rect">
                      <a:avLst/>
                    </a:prstGeom>
                  </pic:spPr>
                </pic:pic>
              </a:graphicData>
            </a:graphic>
          </wp:inline>
        </w:drawing>
      </w:r>
      <w:r>
        <w:rPr>
          <w:rFonts w:hint="eastAsia" w:eastAsia="宋体"/>
          <w:lang w:eastAsia="zh-CN"/>
        </w:rPr>
        <w:drawing>
          <wp:inline distT="0" distB="0" distL="114300" distR="114300">
            <wp:extent cx="5274310" cy="7464425"/>
            <wp:effectExtent l="0" t="0" r="2540" b="3175"/>
            <wp:docPr id="7" name="图片 7" descr="DOC102325-1023202522004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102325-10232025220046_02"/>
                    <pic:cNvPicPr>
                      <a:picLocks noChangeAspect="1"/>
                    </pic:cNvPicPr>
                  </pic:nvPicPr>
                  <pic:blipFill>
                    <a:blip r:embed="rId7"/>
                    <a:stretch>
                      <a:fillRect/>
                    </a:stretch>
                  </pic:blipFill>
                  <pic:spPr>
                    <a:xfrm>
                      <a:off x="0" y="0"/>
                      <a:ext cx="5274310" cy="7464425"/>
                    </a:xfrm>
                    <a:prstGeom prst="rect">
                      <a:avLst/>
                    </a:prstGeom>
                  </pic:spPr>
                </pic:pic>
              </a:graphicData>
            </a:graphic>
          </wp:inline>
        </w:drawing>
      </w:r>
      <w:r>
        <w:rPr>
          <w:rFonts w:hint="eastAsia" w:eastAsia="宋体"/>
          <w:lang w:eastAsia="zh-CN"/>
        </w:rPr>
        <w:drawing>
          <wp:inline distT="0" distB="0" distL="114300" distR="114300">
            <wp:extent cx="5274310" cy="7464425"/>
            <wp:effectExtent l="0" t="0" r="2540" b="3175"/>
            <wp:docPr id="6" name="图片 6" descr="DOC102325-1023202522004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102325-10232025220046_03"/>
                    <pic:cNvPicPr>
                      <a:picLocks noChangeAspect="1"/>
                    </pic:cNvPicPr>
                  </pic:nvPicPr>
                  <pic:blipFill>
                    <a:blip r:embed="rId8"/>
                    <a:stretch>
                      <a:fillRect/>
                    </a:stretch>
                  </pic:blipFill>
                  <pic:spPr>
                    <a:xfrm>
                      <a:off x="0" y="0"/>
                      <a:ext cx="5274310" cy="7464425"/>
                    </a:xfrm>
                    <a:prstGeom prst="rect">
                      <a:avLst/>
                    </a:prstGeom>
                  </pic:spPr>
                </pic:pic>
              </a:graphicData>
            </a:graphic>
          </wp:inline>
        </w:drawing>
      </w:r>
    </w:p>
    <w:p w14:paraId="71131254">
      <w:pPr>
        <w:jc w:val="both"/>
      </w:pPr>
    </w:p>
    <w:p w14:paraId="50678230">
      <w:pPr>
        <w:jc w:val="both"/>
      </w:pPr>
    </w:p>
    <w:p w14:paraId="00CEC2E3">
      <w:pPr>
        <w:jc w:val="both"/>
      </w:pPr>
    </w:p>
    <w:p w14:paraId="1DD3FCE3">
      <w:pPr>
        <w:jc w:val="both"/>
      </w:pPr>
    </w:p>
    <w:p w14:paraId="2B59A32B">
      <w:pPr>
        <w:jc w:val="both"/>
      </w:pPr>
    </w:p>
    <w:p w14:paraId="256DE4E7">
      <w:pPr>
        <w:jc w:val="both"/>
      </w:pPr>
    </w:p>
    <w:p w14:paraId="5A2C25E3">
      <w:pPr>
        <w:jc w:val="both"/>
      </w:pPr>
    </w:p>
    <w:p w14:paraId="533D82FB">
      <w:pPr>
        <w:jc w:val="both"/>
      </w:pPr>
    </w:p>
    <w:p w14:paraId="3E01CFF2">
      <w:pPr>
        <w:jc w:val="both"/>
        <w:rPr>
          <w:rFonts w:hint="eastAsia" w:eastAsia="宋体"/>
          <w:lang w:eastAsia="zh-CN"/>
        </w:rPr>
      </w:pPr>
      <w:r>
        <w:drawing>
          <wp:inline distT="0" distB="0" distL="114300" distR="114300">
            <wp:extent cx="5269230" cy="7337425"/>
            <wp:effectExtent l="0" t="0" r="7620" b="158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69230" cy="7337425"/>
                    </a:xfrm>
                    <a:prstGeom prst="rect">
                      <a:avLst/>
                    </a:prstGeom>
                    <a:noFill/>
                    <a:ln>
                      <a:noFill/>
                    </a:ln>
                  </pic:spPr>
                </pic:pic>
              </a:graphicData>
            </a:graphic>
          </wp:inline>
        </w:drawing>
      </w:r>
    </w:p>
    <w:p w14:paraId="3CC18563">
      <w:pPr>
        <w:rPr>
          <w:rFonts w:hint="eastAsia" w:eastAsia="宋体"/>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C524B76"/>
    <w:rsid w:val="0D0227BA"/>
    <w:rsid w:val="0D073DB5"/>
    <w:rsid w:val="0D081033"/>
    <w:rsid w:val="0D1C170F"/>
    <w:rsid w:val="0D4252AC"/>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317C88"/>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ED3F48"/>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13B8C"/>
    <w:rsid w:val="3823766B"/>
    <w:rsid w:val="396748BA"/>
    <w:rsid w:val="39AC13AD"/>
    <w:rsid w:val="3A751F6D"/>
    <w:rsid w:val="3AB6680E"/>
    <w:rsid w:val="3AD61658"/>
    <w:rsid w:val="3ADD7367"/>
    <w:rsid w:val="3AF50232"/>
    <w:rsid w:val="3B251FB8"/>
    <w:rsid w:val="3B3712DA"/>
    <w:rsid w:val="3B516ED3"/>
    <w:rsid w:val="3B622014"/>
    <w:rsid w:val="3BB54D17"/>
    <w:rsid w:val="3BFC6477"/>
    <w:rsid w:val="3C7D28D5"/>
    <w:rsid w:val="3C9506A5"/>
    <w:rsid w:val="3CE43836"/>
    <w:rsid w:val="3D027FC2"/>
    <w:rsid w:val="3D3D4FC4"/>
    <w:rsid w:val="3D4729D1"/>
    <w:rsid w:val="3D6C58AA"/>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8D7780C"/>
    <w:rsid w:val="49CE6C17"/>
    <w:rsid w:val="4A437992"/>
    <w:rsid w:val="4A657908"/>
    <w:rsid w:val="4ACC5BD9"/>
    <w:rsid w:val="4BE40D01"/>
    <w:rsid w:val="4CDE060B"/>
    <w:rsid w:val="4E2E60EA"/>
    <w:rsid w:val="4E3D5914"/>
    <w:rsid w:val="4E461B89"/>
    <w:rsid w:val="4E834801"/>
    <w:rsid w:val="4F4C1097"/>
    <w:rsid w:val="4F844CD5"/>
    <w:rsid w:val="4FB01626"/>
    <w:rsid w:val="4FF32FA8"/>
    <w:rsid w:val="50EA0B03"/>
    <w:rsid w:val="512A57AB"/>
    <w:rsid w:val="515A3854"/>
    <w:rsid w:val="5276471A"/>
    <w:rsid w:val="52B20F97"/>
    <w:rsid w:val="52CC47C0"/>
    <w:rsid w:val="52E07D49"/>
    <w:rsid w:val="5374510A"/>
    <w:rsid w:val="53F5005F"/>
    <w:rsid w:val="550C37A2"/>
    <w:rsid w:val="55990DAE"/>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096502"/>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721148"/>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B3B1735"/>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600B3B"/>
    <w:rsid w:val="729E3A33"/>
    <w:rsid w:val="72C43B37"/>
    <w:rsid w:val="73670AB5"/>
    <w:rsid w:val="737D1DEA"/>
    <w:rsid w:val="748B2EA1"/>
    <w:rsid w:val="74AE0F56"/>
    <w:rsid w:val="755328D0"/>
    <w:rsid w:val="76391AC6"/>
    <w:rsid w:val="7672193D"/>
    <w:rsid w:val="770403EE"/>
    <w:rsid w:val="771C50B0"/>
    <w:rsid w:val="771E190D"/>
    <w:rsid w:val="77832F9B"/>
    <w:rsid w:val="77C519A6"/>
    <w:rsid w:val="78063C29"/>
    <w:rsid w:val="784004D1"/>
    <w:rsid w:val="784D1858"/>
    <w:rsid w:val="78725E9B"/>
    <w:rsid w:val="78760DAF"/>
    <w:rsid w:val="7877129B"/>
    <w:rsid w:val="787B0173"/>
    <w:rsid w:val="79302291"/>
    <w:rsid w:val="797D7F1B"/>
    <w:rsid w:val="79F44E86"/>
    <w:rsid w:val="79FE7AE0"/>
    <w:rsid w:val="7A083C89"/>
    <w:rsid w:val="7AA15E8B"/>
    <w:rsid w:val="7B1A51D8"/>
    <w:rsid w:val="7B424553"/>
    <w:rsid w:val="7BB96559"/>
    <w:rsid w:val="7BF25D18"/>
    <w:rsid w:val="7C304A31"/>
    <w:rsid w:val="7C6520EB"/>
    <w:rsid w:val="7C85225C"/>
    <w:rsid w:val="7CE56503"/>
    <w:rsid w:val="7D1943FF"/>
    <w:rsid w:val="7D7347EF"/>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next w:val="7"/>
    <w:unhideWhenUsed/>
    <w:qFormat/>
    <w:uiPriority w:val="99"/>
    <w:pPr>
      <w:ind w:firstLine="420" w:firstLine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7"/>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906</Words>
  <Characters>1102</Characters>
  <Lines>8</Lines>
  <Paragraphs>2</Paragraphs>
  <TotalTime>0</TotalTime>
  <ScaleCrop>false</ScaleCrop>
  <LinksUpToDate>false</LinksUpToDate>
  <CharactersWithSpaces>1106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2025-10-24T02:10:38Z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BF701FB91A744B049CE4F80DAFD00276_13</vt:lpwstr>
  </property>
  <property fmtid="{D5CDD505-2E9C-101B-9397-08002B2CF9AE}" pid="4" name="KSOTemplateDocerSaveRecord">
    <vt:lpwstr>eyJoZGlkIjoiNDgzMjdiZTZhYWEwMDUyMzMwMzdhZWM2ZmNjMGMzMDkiLCJ1c2VySWQiOiI1NzcyNjAwMzgifQ==</vt:lpwstr>
  </property>
</Properties>
</file>