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A34740">
      <w:pPr>
        <w:jc w:val="center"/>
        <w:rPr>
          <w:rFonts w:ascii="Times New Roman" w:hAnsi="Times New Roman"/>
          <w:color w:val="auto"/>
          <w:sz w:val="28"/>
          <w:szCs w:val="28"/>
        </w:rPr>
      </w:pPr>
      <w:r>
        <w:rPr>
          <w:rFonts w:hint="eastAsia" w:ascii="Times New Roman" w:hAnsi="Times New Roman"/>
          <w:color w:val="auto"/>
          <w:kern w:val="0"/>
          <w:sz w:val="28"/>
          <w:szCs w:val="28"/>
          <w:shd w:val="clear" w:color="auto" w:fill="FFFFFF"/>
        </w:rPr>
        <w:t>安全评价报告</w:t>
      </w:r>
      <w:r>
        <w:rPr>
          <w:rFonts w:ascii="Times New Roman" w:hAnsi="Times New Roman"/>
          <w:color w:val="auto"/>
          <w:kern w:val="0"/>
          <w:sz w:val="28"/>
          <w:szCs w:val="28"/>
          <w:shd w:val="clear" w:color="auto" w:fill="FFFFFF"/>
        </w:rPr>
        <w:t>公开信息表</w:t>
      </w:r>
    </w:p>
    <w:tbl>
      <w:tblPr>
        <w:tblStyle w:val="23"/>
        <w:tblW w:w="94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0" w:type="dxa"/>
          <w:bottom w:w="0" w:type="dxa"/>
          <w:right w:w="0" w:type="dxa"/>
        </w:tblCellMar>
      </w:tblPr>
      <w:tblGrid>
        <w:gridCol w:w="531"/>
        <w:gridCol w:w="840"/>
        <w:gridCol w:w="5878"/>
        <w:gridCol w:w="2219"/>
      </w:tblGrid>
      <w:tr w14:paraId="76507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82FB0BF">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项目名称</w:t>
            </w:r>
          </w:p>
        </w:tc>
        <w:tc>
          <w:tcPr>
            <w:tcW w:w="8937" w:type="dxa"/>
            <w:gridSpan w:val="3"/>
            <w:tcBorders>
              <w:tl2br w:val="nil"/>
              <w:tr2bl w:val="nil"/>
            </w:tcBorders>
            <w:shd w:val="clear" w:color="auto" w:fill="FFFFFF"/>
            <w:vAlign w:val="center"/>
          </w:tcPr>
          <w:p w14:paraId="61A650FF">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lang w:eastAsia="zh-CN"/>
              </w:rPr>
              <w:t>江西德斯坤新材料科技有限公司油墨、合成材料及配套产品项目（第一部分）安全设施竣工验收评价报告</w:t>
            </w:r>
          </w:p>
        </w:tc>
      </w:tr>
      <w:tr w14:paraId="54265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232A0674">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完成时间</w:t>
            </w:r>
          </w:p>
        </w:tc>
        <w:tc>
          <w:tcPr>
            <w:tcW w:w="8937" w:type="dxa"/>
            <w:gridSpan w:val="3"/>
            <w:tcBorders>
              <w:tl2br w:val="nil"/>
              <w:tr2bl w:val="nil"/>
            </w:tcBorders>
            <w:shd w:val="clear" w:color="auto" w:fill="FFFFFF"/>
            <w:vAlign w:val="center"/>
          </w:tcPr>
          <w:p w14:paraId="0D6A2948">
            <w:pPr>
              <w:keepNext w:val="0"/>
              <w:keepLines w:val="0"/>
              <w:widowControl/>
              <w:suppressLineNumbers w:val="0"/>
              <w:spacing w:before="0" w:beforeAutospacing="0" w:after="150" w:afterAutospacing="0"/>
              <w:ind w:left="0" w:right="0"/>
              <w:jc w:val="center"/>
              <w:rPr>
                <w:rFonts w:hint="default" w:ascii="宋体" w:hAnsi="宋体" w:eastAsia="宋体" w:cs="宋体"/>
                <w:color w:val="auto"/>
                <w:sz w:val="24"/>
                <w:lang w:val="en-US" w:eastAsia="zh-CN"/>
              </w:rPr>
            </w:pPr>
            <w:r>
              <w:rPr>
                <w:rFonts w:hint="eastAsia" w:ascii="宋体" w:hAnsi="宋体" w:cs="宋体"/>
                <w:color w:val="auto"/>
                <w:sz w:val="24"/>
              </w:rPr>
              <w:t>202</w:t>
            </w:r>
            <w:r>
              <w:rPr>
                <w:rFonts w:hint="eastAsia" w:ascii="宋体" w:hAnsi="宋体" w:cs="宋体"/>
                <w:color w:val="auto"/>
                <w:sz w:val="24"/>
                <w:lang w:val="en-US" w:eastAsia="zh-CN"/>
              </w:rPr>
              <w:t>5</w:t>
            </w:r>
            <w:r>
              <w:rPr>
                <w:rFonts w:hint="eastAsia" w:ascii="宋体" w:hAnsi="宋体" w:cs="宋体"/>
                <w:color w:val="auto"/>
                <w:sz w:val="24"/>
              </w:rPr>
              <w:t>年</w:t>
            </w:r>
            <w:r>
              <w:rPr>
                <w:rFonts w:hint="eastAsia" w:ascii="宋体" w:hAnsi="宋体" w:cs="宋体"/>
                <w:color w:val="auto"/>
                <w:sz w:val="24"/>
                <w:lang w:val="en-US" w:eastAsia="zh-CN"/>
              </w:rPr>
              <w:t>9</w:t>
            </w:r>
            <w:r>
              <w:rPr>
                <w:rFonts w:hint="eastAsia" w:ascii="宋体" w:hAnsi="宋体" w:cs="宋体"/>
                <w:color w:val="auto"/>
                <w:sz w:val="24"/>
              </w:rPr>
              <w:t>月</w:t>
            </w:r>
            <w:r>
              <w:rPr>
                <w:rFonts w:hint="eastAsia" w:ascii="宋体" w:hAnsi="宋体" w:cs="宋体"/>
                <w:color w:val="auto"/>
                <w:sz w:val="24"/>
                <w:lang w:val="en-US" w:eastAsia="zh-CN"/>
              </w:rPr>
              <w:t>18日</w:t>
            </w:r>
          </w:p>
        </w:tc>
      </w:tr>
      <w:tr w14:paraId="2AD87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9468" w:type="dxa"/>
            <w:gridSpan w:val="4"/>
            <w:tcBorders>
              <w:tl2br w:val="nil"/>
              <w:tr2bl w:val="nil"/>
            </w:tcBorders>
            <w:shd w:val="clear" w:color="auto" w:fill="FFFFFF"/>
            <w:vAlign w:val="center"/>
          </w:tcPr>
          <w:p w14:paraId="3EE647F2">
            <w:pPr>
              <w:keepNext w:val="0"/>
              <w:keepLines w:val="0"/>
              <w:widowControl/>
              <w:suppressLineNumbers w:val="0"/>
              <w:spacing w:before="0" w:beforeAutospacing="0" w:after="150" w:afterAutospacing="0"/>
              <w:ind w:left="0" w:right="0"/>
              <w:jc w:val="center"/>
              <w:rPr>
                <w:rFonts w:hint="default" w:ascii="宋体" w:hAnsi="宋体" w:cs="宋体"/>
                <w:color w:val="auto"/>
                <w:kern w:val="0"/>
                <w:sz w:val="24"/>
                <w:shd w:val="clear" w:color="auto" w:fill="FFFFFF"/>
              </w:rPr>
            </w:pPr>
            <w:r>
              <w:rPr>
                <w:rFonts w:hint="eastAsia" w:ascii="宋体" w:hAnsi="宋体" w:cs="宋体"/>
                <w:color w:val="auto"/>
                <w:kern w:val="0"/>
                <w:sz w:val="24"/>
                <w:shd w:val="clear" w:color="auto" w:fill="FFFFFF"/>
              </w:rPr>
              <w:t>评价人员</w:t>
            </w:r>
          </w:p>
        </w:tc>
      </w:tr>
      <w:tr w14:paraId="316E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0B93473">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840" w:type="dxa"/>
            <w:tcBorders>
              <w:tl2br w:val="nil"/>
              <w:tr2bl w:val="nil"/>
            </w:tcBorders>
            <w:shd w:val="clear" w:color="auto" w:fill="FFFFFF"/>
            <w:vAlign w:val="center"/>
          </w:tcPr>
          <w:p w14:paraId="476FDDF2">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姓名</w:t>
            </w:r>
          </w:p>
        </w:tc>
        <w:tc>
          <w:tcPr>
            <w:tcW w:w="5878" w:type="dxa"/>
            <w:tcBorders>
              <w:tl2br w:val="nil"/>
              <w:tr2bl w:val="nil"/>
            </w:tcBorders>
            <w:shd w:val="clear" w:color="auto" w:fill="FFFFFF"/>
            <w:vAlign w:val="center"/>
          </w:tcPr>
          <w:p w14:paraId="41DE2DD7">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资格证书号</w:t>
            </w:r>
          </w:p>
        </w:tc>
        <w:tc>
          <w:tcPr>
            <w:tcW w:w="2219" w:type="dxa"/>
            <w:tcBorders>
              <w:tl2br w:val="nil"/>
              <w:tr2bl w:val="nil"/>
            </w:tcBorders>
            <w:shd w:val="clear" w:color="auto" w:fill="FFFFFF"/>
            <w:vAlign w:val="center"/>
          </w:tcPr>
          <w:p w14:paraId="48A34EEA">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从业号</w:t>
            </w:r>
          </w:p>
        </w:tc>
      </w:tr>
      <w:tr w14:paraId="29A83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632" w:hRule="atLeast"/>
          <w:jc w:val="center"/>
        </w:trPr>
        <w:tc>
          <w:tcPr>
            <w:tcW w:w="531" w:type="dxa"/>
            <w:tcBorders>
              <w:tl2br w:val="nil"/>
              <w:tr2bl w:val="nil"/>
            </w:tcBorders>
            <w:shd w:val="clear" w:color="auto" w:fill="FFFFFF"/>
            <w:vAlign w:val="center"/>
          </w:tcPr>
          <w:p w14:paraId="1FB23008">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项目负责人</w:t>
            </w:r>
          </w:p>
        </w:tc>
        <w:tc>
          <w:tcPr>
            <w:tcW w:w="840" w:type="dxa"/>
            <w:tcBorders>
              <w:tl2br w:val="nil"/>
              <w:tr2bl w:val="nil"/>
            </w:tcBorders>
            <w:shd w:val="clear" w:color="auto" w:fill="FFFFFF"/>
            <w:vAlign w:val="center"/>
          </w:tcPr>
          <w:p w14:paraId="56565DEB">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徐顺星</w:t>
            </w:r>
          </w:p>
        </w:tc>
        <w:tc>
          <w:tcPr>
            <w:tcW w:w="5878" w:type="dxa"/>
            <w:tcBorders>
              <w:tl2br w:val="nil"/>
              <w:tr2bl w:val="nil"/>
            </w:tcBorders>
            <w:shd w:val="clear" w:color="auto" w:fill="FFFFFF"/>
            <w:vAlign w:val="center"/>
          </w:tcPr>
          <w:p w14:paraId="74203271">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S011041000110192002229</w:t>
            </w:r>
          </w:p>
        </w:tc>
        <w:tc>
          <w:tcPr>
            <w:tcW w:w="2219" w:type="dxa"/>
            <w:tcBorders>
              <w:tl2br w:val="nil"/>
              <w:tr2bl w:val="nil"/>
            </w:tcBorders>
            <w:shd w:val="clear" w:color="auto" w:fill="FFFFFF"/>
            <w:vAlign w:val="center"/>
          </w:tcPr>
          <w:p w14:paraId="3EA9A323">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018803</w:t>
            </w:r>
          </w:p>
        </w:tc>
      </w:tr>
      <w:tr w14:paraId="42A37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9" w:hRule="atLeast"/>
          <w:jc w:val="center"/>
        </w:trPr>
        <w:tc>
          <w:tcPr>
            <w:tcW w:w="531" w:type="dxa"/>
            <w:vMerge w:val="restart"/>
            <w:tcBorders>
              <w:tl2br w:val="nil"/>
              <w:tr2bl w:val="nil"/>
            </w:tcBorders>
            <w:shd w:val="clear" w:color="auto" w:fill="FFFFFF"/>
            <w:vAlign w:val="center"/>
          </w:tcPr>
          <w:p w14:paraId="4A4D7CCA">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项目组成员</w:t>
            </w:r>
          </w:p>
        </w:tc>
        <w:tc>
          <w:tcPr>
            <w:tcW w:w="840" w:type="dxa"/>
            <w:tcBorders>
              <w:tl2br w:val="nil"/>
              <w:tr2bl w:val="nil"/>
            </w:tcBorders>
            <w:shd w:val="clear" w:color="auto" w:fill="FFFFFF"/>
            <w:vAlign w:val="center"/>
          </w:tcPr>
          <w:p w14:paraId="2D36C39E">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乔贯德</w:t>
            </w:r>
          </w:p>
        </w:tc>
        <w:tc>
          <w:tcPr>
            <w:tcW w:w="5878" w:type="dxa"/>
            <w:tcBorders>
              <w:tl2br w:val="nil"/>
              <w:tr2bl w:val="nil"/>
            </w:tcBorders>
            <w:shd w:val="clear" w:color="auto" w:fill="FFFFFF"/>
            <w:vAlign w:val="center"/>
          </w:tcPr>
          <w:p w14:paraId="652AFC5A">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1700000000300087</w:t>
            </w:r>
          </w:p>
        </w:tc>
        <w:tc>
          <w:tcPr>
            <w:tcW w:w="2219" w:type="dxa"/>
            <w:tcBorders>
              <w:tl2br w:val="nil"/>
              <w:tr2bl w:val="nil"/>
            </w:tcBorders>
            <w:shd w:val="clear" w:color="auto" w:fill="FFFFFF"/>
            <w:vAlign w:val="center"/>
          </w:tcPr>
          <w:p w14:paraId="155B3950">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030797</w:t>
            </w:r>
          </w:p>
        </w:tc>
      </w:tr>
      <w:tr w14:paraId="594F2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1894849F">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840" w:type="dxa"/>
            <w:tcBorders>
              <w:tl2br w:val="nil"/>
              <w:tr2bl w:val="nil"/>
            </w:tcBorders>
            <w:shd w:val="clear" w:color="auto" w:fill="FFFFFF"/>
            <w:vAlign w:val="center"/>
          </w:tcPr>
          <w:p w14:paraId="4A9331A7">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舒斌</w:t>
            </w:r>
          </w:p>
        </w:tc>
        <w:tc>
          <w:tcPr>
            <w:tcW w:w="5878" w:type="dxa"/>
            <w:tcBorders>
              <w:tl2br w:val="nil"/>
              <w:tr2bl w:val="nil"/>
            </w:tcBorders>
            <w:shd w:val="clear" w:color="auto" w:fill="FFFFFF"/>
            <w:vAlign w:val="center"/>
          </w:tcPr>
          <w:p w14:paraId="3E4AF7D5">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0800000000205889</w:t>
            </w:r>
            <w:r>
              <w:rPr>
                <w:rFonts w:hint="default" w:ascii="Times New Roman" w:hAnsi="Times New Roman" w:eastAsia="宋体" w:cs="Times New Roman"/>
                <w:sz w:val="24"/>
                <w:lang w:val="en-US" w:eastAsia="zh-CN"/>
              </w:rPr>
              <w:t xml:space="preserve">  </w:t>
            </w:r>
            <w:bookmarkStart w:id="4" w:name="_GoBack"/>
            <w:bookmarkEnd w:id="4"/>
          </w:p>
        </w:tc>
        <w:tc>
          <w:tcPr>
            <w:tcW w:w="2219" w:type="dxa"/>
            <w:tcBorders>
              <w:tl2br w:val="nil"/>
              <w:tr2bl w:val="nil"/>
            </w:tcBorders>
            <w:shd w:val="clear" w:color="auto" w:fill="FFFFFF"/>
            <w:vAlign w:val="center"/>
          </w:tcPr>
          <w:p w14:paraId="097E9CF2">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013031</w:t>
            </w:r>
          </w:p>
        </w:tc>
      </w:tr>
      <w:tr w14:paraId="7518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218282FC">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840" w:type="dxa"/>
            <w:tcBorders>
              <w:tl2br w:val="nil"/>
              <w:tr2bl w:val="nil"/>
            </w:tcBorders>
            <w:shd w:val="clear" w:color="auto" w:fill="FFFFFF"/>
            <w:vAlign w:val="center"/>
          </w:tcPr>
          <w:p w14:paraId="07C8D395">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赵云峰</w:t>
            </w:r>
          </w:p>
        </w:tc>
        <w:tc>
          <w:tcPr>
            <w:tcW w:w="5878" w:type="dxa"/>
            <w:tcBorders>
              <w:tl2br w:val="nil"/>
              <w:tr2bl w:val="nil"/>
            </w:tcBorders>
            <w:shd w:val="clear" w:color="auto" w:fill="FFFFFF"/>
            <w:vAlign w:val="center"/>
          </w:tcPr>
          <w:p w14:paraId="1F79760F">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1600000000200809</w:t>
            </w:r>
          </w:p>
        </w:tc>
        <w:tc>
          <w:tcPr>
            <w:tcW w:w="2219" w:type="dxa"/>
            <w:tcBorders>
              <w:tl2br w:val="nil"/>
              <w:tr2bl w:val="nil"/>
            </w:tcBorders>
            <w:shd w:val="clear" w:color="auto" w:fill="FFFFFF"/>
            <w:vAlign w:val="center"/>
          </w:tcPr>
          <w:p w14:paraId="05E42F8E">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030095</w:t>
            </w:r>
          </w:p>
        </w:tc>
      </w:tr>
      <w:tr w14:paraId="3B19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78FC19D6">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840" w:type="dxa"/>
            <w:tcBorders>
              <w:tl2br w:val="nil"/>
              <w:tr2bl w:val="nil"/>
            </w:tcBorders>
            <w:shd w:val="clear" w:color="auto" w:fill="FFFFFF"/>
            <w:vAlign w:val="center"/>
          </w:tcPr>
          <w:p w14:paraId="5313DC72">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张晋慧</w:t>
            </w:r>
          </w:p>
        </w:tc>
        <w:tc>
          <w:tcPr>
            <w:tcW w:w="5878" w:type="dxa"/>
            <w:tcBorders>
              <w:tl2br w:val="nil"/>
              <w:tr2bl w:val="nil"/>
            </w:tcBorders>
            <w:shd w:val="clear" w:color="auto" w:fill="FFFFFF"/>
            <w:vAlign w:val="center"/>
          </w:tcPr>
          <w:p w14:paraId="0A94E59E">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11</w:t>
            </w:r>
            <w:r>
              <w:rPr>
                <w:rFonts w:hint="eastAsia" w:ascii="Times New Roman" w:hAnsi="Times New Roman" w:eastAsia="宋体" w:cs="Times New Roman"/>
                <w:sz w:val="24"/>
                <w:lang w:val="en-US" w:eastAsia="zh-CN"/>
              </w:rPr>
              <w:t>00000000302946</w:t>
            </w:r>
          </w:p>
        </w:tc>
        <w:tc>
          <w:tcPr>
            <w:tcW w:w="2219" w:type="dxa"/>
            <w:tcBorders>
              <w:tl2br w:val="nil"/>
              <w:tr2bl w:val="nil"/>
            </w:tcBorders>
            <w:shd w:val="clear" w:color="auto" w:fill="FFFFFF"/>
            <w:vAlign w:val="center"/>
          </w:tcPr>
          <w:p w14:paraId="4DD07733">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020045</w:t>
            </w:r>
          </w:p>
        </w:tc>
      </w:tr>
      <w:tr w14:paraId="6D10D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vMerge w:val="continue"/>
            <w:tcBorders>
              <w:tl2br w:val="nil"/>
              <w:tr2bl w:val="nil"/>
            </w:tcBorders>
            <w:shd w:val="clear" w:color="auto" w:fill="FFFFFF"/>
            <w:vAlign w:val="center"/>
          </w:tcPr>
          <w:p w14:paraId="63B7C362">
            <w:pPr>
              <w:keepNext w:val="0"/>
              <w:keepLines w:val="0"/>
              <w:suppressLineNumbers w:val="0"/>
              <w:spacing w:before="0" w:beforeAutospacing="0" w:after="0" w:afterAutospacing="0"/>
              <w:ind w:left="0" w:right="0"/>
              <w:jc w:val="center"/>
              <w:rPr>
                <w:rFonts w:hint="default" w:ascii="宋体" w:hAnsi="宋体" w:cs="宋体"/>
                <w:color w:val="auto"/>
                <w:sz w:val="24"/>
              </w:rPr>
            </w:pPr>
          </w:p>
        </w:tc>
        <w:tc>
          <w:tcPr>
            <w:tcW w:w="840" w:type="dxa"/>
            <w:tcBorders>
              <w:tl2br w:val="nil"/>
              <w:tr2bl w:val="nil"/>
            </w:tcBorders>
            <w:shd w:val="clear" w:color="auto" w:fill="auto"/>
            <w:vAlign w:val="center"/>
          </w:tcPr>
          <w:p w14:paraId="2EB62A00">
            <w:pPr>
              <w:keepNext w:val="0"/>
              <w:keepLines w:val="0"/>
              <w:suppressLineNumbers w:val="0"/>
              <w:spacing w:before="156" w:beforeLines="50" w:beforeAutospacing="0" w:after="156" w:afterLines="50" w:afterAutospacing="0" w:line="400" w:lineRule="exact"/>
              <w:ind w:left="0" w:right="0" w:firstLine="0" w:firstLineChars="0"/>
              <w:jc w:val="center"/>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蓝家财</w:t>
            </w:r>
          </w:p>
        </w:tc>
        <w:tc>
          <w:tcPr>
            <w:tcW w:w="5878" w:type="dxa"/>
            <w:tcBorders>
              <w:tl2br w:val="nil"/>
              <w:tr2bl w:val="nil"/>
            </w:tcBorders>
            <w:shd w:val="clear" w:color="auto" w:fill="FFFFFF"/>
            <w:vAlign w:val="center"/>
          </w:tcPr>
          <w:p w14:paraId="5559F345">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CAWS530000230200862</w:t>
            </w:r>
          </w:p>
        </w:tc>
        <w:tc>
          <w:tcPr>
            <w:tcW w:w="2219" w:type="dxa"/>
            <w:tcBorders>
              <w:tl2br w:val="nil"/>
              <w:tr2bl w:val="nil"/>
            </w:tcBorders>
            <w:shd w:val="clear" w:color="auto" w:fill="FFFFFF"/>
            <w:vAlign w:val="center"/>
          </w:tcPr>
          <w:p w14:paraId="4946EFE4">
            <w:pPr>
              <w:keepNext w:val="0"/>
              <w:keepLines w:val="0"/>
              <w:suppressLineNumbers w:val="0"/>
              <w:spacing w:before="156" w:beforeLines="50" w:beforeAutospacing="0" w:after="156" w:afterLines="50" w:afterAutospacing="0" w:line="400" w:lineRule="exact"/>
              <w:ind w:left="0" w:right="0" w:firstLine="0" w:firstLineChars="0"/>
              <w:jc w:val="center"/>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042916</w:t>
            </w:r>
          </w:p>
        </w:tc>
      </w:tr>
      <w:tr w14:paraId="1968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397" w:hRule="atLeast"/>
          <w:jc w:val="center"/>
        </w:trPr>
        <w:tc>
          <w:tcPr>
            <w:tcW w:w="531" w:type="dxa"/>
            <w:tcBorders>
              <w:tl2br w:val="nil"/>
              <w:tr2bl w:val="nil"/>
            </w:tcBorders>
            <w:shd w:val="clear" w:color="auto" w:fill="FFFFFF"/>
            <w:vAlign w:val="center"/>
          </w:tcPr>
          <w:p w14:paraId="1393FDAF">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技术专家</w:t>
            </w:r>
          </w:p>
        </w:tc>
        <w:tc>
          <w:tcPr>
            <w:tcW w:w="8937" w:type="dxa"/>
            <w:gridSpan w:val="3"/>
            <w:tcBorders>
              <w:tl2br w:val="nil"/>
              <w:tr2bl w:val="nil"/>
            </w:tcBorders>
            <w:shd w:val="clear" w:color="auto" w:fill="FFFFFF"/>
            <w:vAlign w:val="center"/>
          </w:tcPr>
          <w:p w14:paraId="06BC571F">
            <w:pPr>
              <w:keepNext w:val="0"/>
              <w:keepLines w:val="0"/>
              <w:suppressLineNumbers w:val="0"/>
              <w:spacing w:before="0" w:beforeAutospacing="0" w:after="0" w:afterAutospacing="0"/>
              <w:ind w:left="0" w:right="0"/>
              <w:jc w:val="center"/>
              <w:rPr>
                <w:rFonts w:hint="default" w:ascii="宋体" w:hAnsi="宋体" w:cs="宋体"/>
                <w:color w:val="auto"/>
                <w:sz w:val="24"/>
              </w:rPr>
            </w:pPr>
            <w:r>
              <w:rPr>
                <w:rFonts w:hint="eastAsia" w:ascii="宋体" w:hAnsi="宋体" w:cs="宋体"/>
                <w:color w:val="auto"/>
                <w:sz w:val="24"/>
              </w:rPr>
              <w:t>/</w:t>
            </w:r>
          </w:p>
        </w:tc>
      </w:tr>
      <w:tr w14:paraId="4F7E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2117" w:hRule="atLeast"/>
          <w:jc w:val="center"/>
        </w:trPr>
        <w:tc>
          <w:tcPr>
            <w:tcW w:w="531" w:type="dxa"/>
            <w:tcBorders>
              <w:tl2br w:val="nil"/>
              <w:tr2bl w:val="nil"/>
            </w:tcBorders>
            <w:shd w:val="clear" w:color="auto" w:fill="FFFFFF"/>
            <w:vAlign w:val="center"/>
          </w:tcPr>
          <w:p w14:paraId="29ED6B3E">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现场勘察人员及时间</w:t>
            </w:r>
          </w:p>
        </w:tc>
        <w:tc>
          <w:tcPr>
            <w:tcW w:w="8937" w:type="dxa"/>
            <w:gridSpan w:val="3"/>
            <w:tcBorders>
              <w:tl2br w:val="nil"/>
              <w:tr2bl w:val="nil"/>
            </w:tcBorders>
            <w:shd w:val="clear" w:color="auto" w:fill="FFFFFF"/>
            <w:vAlign w:val="center"/>
          </w:tcPr>
          <w:p w14:paraId="0A9BD943">
            <w:pPr>
              <w:keepNext w:val="0"/>
              <w:keepLines w:val="0"/>
              <w:widowControl/>
              <w:suppressLineNumbers w:val="0"/>
              <w:spacing w:before="0" w:beforeAutospacing="0" w:after="150" w:afterAutospacing="0"/>
              <w:ind w:left="0" w:right="0"/>
              <w:jc w:val="center"/>
              <w:rPr>
                <w:rFonts w:hint="default" w:ascii="Times New Roman" w:hAnsi="Times New Roman" w:eastAsia="宋体"/>
                <w:color w:val="auto"/>
                <w:sz w:val="24"/>
                <w:lang w:val="en-US" w:eastAsia="zh-CN"/>
              </w:rPr>
            </w:pPr>
            <w:r>
              <w:rPr>
                <w:rFonts w:hint="default" w:ascii="Times New Roman" w:hAnsi="Times New Roman" w:eastAsia="宋体" w:cs="Times New Roman"/>
                <w:color w:val="auto"/>
                <w:sz w:val="24"/>
                <w:lang w:val="en-US" w:eastAsia="zh-CN"/>
              </w:rPr>
              <w:t>徐顺星</w:t>
            </w:r>
            <w:r>
              <w:rPr>
                <w:rFonts w:hint="eastAsia"/>
                <w:color w:val="auto"/>
                <w:sz w:val="24"/>
              </w:rPr>
              <w:t>、</w:t>
            </w:r>
            <w:r>
              <w:rPr>
                <w:rFonts w:hint="eastAsia" w:ascii="Calibri" w:hAnsi="Calibri" w:eastAsia="宋体" w:cs="Times New Roman"/>
                <w:color w:val="auto"/>
                <w:sz w:val="24"/>
                <w:szCs w:val="24"/>
                <w:lang w:val="en-US" w:eastAsia="zh-CN"/>
              </w:rPr>
              <w:t>蓝家财</w:t>
            </w:r>
            <w:r>
              <w:rPr>
                <w:rFonts w:hint="eastAsia"/>
                <w:color w:val="auto"/>
                <w:sz w:val="24"/>
              </w:rPr>
              <w:t xml:space="preserve"> </w:t>
            </w:r>
            <w:r>
              <w:rPr>
                <w:rFonts w:hint="eastAsia"/>
                <w:color w:val="auto"/>
                <w:sz w:val="24"/>
                <w:lang w:val="en-US" w:eastAsia="zh-CN"/>
              </w:rPr>
              <w:t>2025年7月16日</w:t>
            </w:r>
          </w:p>
        </w:tc>
      </w:tr>
      <w:tr w14:paraId="0A655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1908" w:hRule="atLeast"/>
          <w:jc w:val="center"/>
        </w:trPr>
        <w:tc>
          <w:tcPr>
            <w:tcW w:w="531" w:type="dxa"/>
            <w:tcBorders>
              <w:tl2br w:val="nil"/>
              <w:tr2bl w:val="nil"/>
            </w:tcBorders>
            <w:shd w:val="clear" w:color="auto" w:fill="FFFFFF"/>
            <w:vAlign w:val="center"/>
          </w:tcPr>
          <w:p w14:paraId="716803F2">
            <w:pPr>
              <w:keepNext w:val="0"/>
              <w:keepLines w:val="0"/>
              <w:widowControl/>
              <w:suppressLineNumbers w:val="0"/>
              <w:spacing w:before="0" w:beforeAutospacing="0" w:after="150" w:afterAutospacing="0"/>
              <w:ind w:left="0" w:right="0"/>
              <w:jc w:val="center"/>
              <w:rPr>
                <w:rFonts w:hint="default" w:ascii="宋体" w:hAnsi="宋体" w:cs="宋体"/>
                <w:color w:val="auto"/>
                <w:kern w:val="0"/>
                <w:sz w:val="24"/>
                <w:shd w:val="clear" w:color="auto" w:fill="FFFFFF"/>
              </w:rPr>
            </w:pPr>
            <w:r>
              <w:rPr>
                <w:rFonts w:hint="eastAsia" w:ascii="宋体" w:hAnsi="宋体" w:cs="宋体"/>
                <w:color w:val="auto"/>
                <w:kern w:val="0"/>
                <w:sz w:val="24"/>
                <w:shd w:val="clear" w:color="auto" w:fill="FFFFFF"/>
              </w:rPr>
              <w:t>现场核查的人员和时间</w:t>
            </w:r>
          </w:p>
        </w:tc>
        <w:tc>
          <w:tcPr>
            <w:tcW w:w="8937" w:type="dxa"/>
            <w:gridSpan w:val="3"/>
            <w:tcBorders>
              <w:tl2br w:val="nil"/>
              <w:tr2bl w:val="nil"/>
            </w:tcBorders>
            <w:shd w:val="clear" w:color="auto" w:fill="FFFFFF"/>
            <w:vAlign w:val="center"/>
          </w:tcPr>
          <w:p w14:paraId="0C6652F1">
            <w:pPr>
              <w:keepNext w:val="0"/>
              <w:keepLines w:val="0"/>
              <w:widowControl/>
              <w:suppressLineNumbers w:val="0"/>
              <w:spacing w:before="0" w:beforeAutospacing="0" w:after="150" w:afterAutospacing="0"/>
              <w:ind w:left="0" w:right="0"/>
              <w:jc w:val="center"/>
              <w:rPr>
                <w:rFonts w:hint="default" w:ascii="Times New Roman" w:hAnsi="Times New Roman" w:eastAsia="宋体"/>
                <w:color w:val="auto"/>
                <w:sz w:val="24"/>
                <w:lang w:val="en-US" w:eastAsia="zh-CN"/>
              </w:rPr>
            </w:pPr>
            <w:r>
              <w:rPr>
                <w:rFonts w:hint="default" w:ascii="Times New Roman" w:hAnsi="Times New Roman" w:cs="Times New Roman"/>
                <w:color w:val="auto"/>
                <w:sz w:val="24"/>
                <w:lang w:val="en-US" w:eastAsia="zh-CN"/>
              </w:rPr>
              <w:t xml:space="preserve">徐顺星、蓝家财 </w:t>
            </w:r>
            <w:r>
              <w:rPr>
                <w:rFonts w:hint="eastAsia"/>
                <w:color w:val="auto"/>
                <w:sz w:val="24"/>
                <w:lang w:val="en-US" w:eastAsia="zh-CN"/>
              </w:rPr>
              <w:t>2025年7月20日</w:t>
            </w:r>
          </w:p>
        </w:tc>
      </w:tr>
      <w:tr w14:paraId="7F3ED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79FDD196">
            <w:pPr>
              <w:keepNext w:val="0"/>
              <w:keepLines w:val="0"/>
              <w:widowControl/>
              <w:suppressLineNumbers w:val="0"/>
              <w:spacing w:before="0" w:beforeAutospacing="0" w:after="150" w:afterAutospacing="0"/>
              <w:ind w:left="0" w:right="0"/>
              <w:jc w:val="center"/>
              <w:rPr>
                <w:rFonts w:hint="default" w:ascii="宋体" w:hAnsi="宋体" w:cs="宋体"/>
                <w:color w:val="auto"/>
                <w:sz w:val="24"/>
              </w:rPr>
            </w:pPr>
            <w:r>
              <w:rPr>
                <w:rFonts w:hint="eastAsia" w:ascii="宋体" w:hAnsi="宋体" w:cs="宋体"/>
                <w:color w:val="auto"/>
                <w:kern w:val="0"/>
                <w:sz w:val="24"/>
                <w:shd w:val="clear" w:color="auto" w:fill="FFFFFF"/>
              </w:rPr>
              <w:t>项目简介</w:t>
            </w:r>
          </w:p>
        </w:tc>
        <w:tc>
          <w:tcPr>
            <w:tcW w:w="8937" w:type="dxa"/>
            <w:gridSpan w:val="3"/>
            <w:tcBorders>
              <w:tl2br w:val="nil"/>
              <w:tr2bl w:val="nil"/>
            </w:tcBorders>
            <w:shd w:val="clear" w:color="auto" w:fill="FFFFFF"/>
          </w:tcPr>
          <w:p w14:paraId="3B3FD044">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 w:val="21"/>
                <w:szCs w:val="21"/>
              </w:rPr>
            </w:pPr>
            <w:bookmarkStart w:id="0" w:name="OLE_LINK43"/>
            <w:r>
              <w:rPr>
                <w:rFonts w:hint="eastAsia" w:ascii="Times New Roman" w:hAnsi="Times New Roman" w:eastAsia="宋体" w:cs="Courier New"/>
                <w:bCs/>
                <w:color w:val="auto"/>
                <w:kern w:val="0"/>
                <w:sz w:val="21"/>
                <w:szCs w:val="21"/>
                <w:lang w:val="zh-TW"/>
              </w:rPr>
              <w:t>江西德斯坤新材料科技有限公司（以下简称：该公司）成立于2021年09月16，位于江西省赣州市龙南市龙南经济技术开发区富康园区，法定代表人王书海，属于有限责任公司(自然人投资或控股)，主要从事油墨、涂料、合成材料等化工产品的制造与销售</w:t>
            </w:r>
            <w:r>
              <w:rPr>
                <w:rFonts w:hint="eastAsia"/>
                <w:color w:val="auto"/>
                <w:sz w:val="21"/>
                <w:szCs w:val="21"/>
              </w:rPr>
              <w:t>。</w:t>
            </w:r>
          </w:p>
          <w:p w14:paraId="4B0A2910">
            <w:pPr>
              <w:keepNext w:val="0"/>
              <w:keepLines w:val="0"/>
              <w:suppressLineNumbers w:val="0"/>
              <w:adjustRightInd w:val="0"/>
              <w:snapToGrid w:val="0"/>
              <w:spacing w:before="0" w:beforeAutospacing="0" w:after="0" w:afterAutospacing="0" w:line="360" w:lineRule="auto"/>
              <w:ind w:left="0" w:right="0" w:firstLine="420" w:firstLineChars="200"/>
              <w:rPr>
                <w:rFonts w:hint="eastAsia"/>
                <w:color w:val="auto"/>
                <w:sz w:val="21"/>
                <w:szCs w:val="21"/>
              </w:rPr>
            </w:pPr>
            <w:r>
              <w:rPr>
                <w:rFonts w:hint="eastAsia"/>
                <w:color w:val="auto"/>
                <w:sz w:val="21"/>
                <w:szCs w:val="21"/>
              </w:rPr>
              <w:t>该项目已取得龙南经济技术开发区经济社会发展局备案（项目统一代码为：2112-360797-04-05-265296），同时已取得安全条件审查意见书和安全设施设计审查意见书以及主管部门的试生产回执（试生产时间：2024年12月23日至2025年6月22日；2025年6月3日取得龙南市应急管理局试生产延期申请的答复意见，延期至2025年12月22日）。</w:t>
            </w:r>
          </w:p>
          <w:bookmarkEnd w:id="0"/>
          <w:p w14:paraId="3DB82FC0">
            <w:pPr>
              <w:keepNext w:val="0"/>
              <w:keepLines w:val="0"/>
              <w:suppressLineNumbers w:val="0"/>
              <w:adjustRightInd w:val="0"/>
              <w:snapToGrid w:val="0"/>
              <w:spacing w:before="0" w:beforeAutospacing="0" w:after="0" w:afterAutospacing="0" w:line="360" w:lineRule="auto"/>
              <w:ind w:left="0" w:right="0" w:firstLine="420" w:firstLineChars="200"/>
              <w:rPr>
                <w:rFonts w:hint="default" w:eastAsia="宋体"/>
                <w:color w:val="auto"/>
                <w:sz w:val="24"/>
                <w:lang w:val="en-US" w:eastAsia="zh-CN"/>
              </w:rPr>
            </w:pPr>
            <w:r>
              <w:rPr>
                <w:rFonts w:hint="eastAsia"/>
                <w:color w:val="auto"/>
                <w:sz w:val="21"/>
                <w:szCs w:val="21"/>
              </w:rPr>
              <w:t>根据《危险化学品生产企业安全生产许可实施办法》（原安监总局令第41号，2017年第89号令修订）、《安全生产许可证条例》（国务院令[2014]第653号修订）等相关法律法规规定，该项目涉及产品橡胶表面处理剂、PU/PVC材料处理剂、EVA材料处理剂、配套固化剂属于危险化学品、工艺涉及精馏工艺，该项目属于危险化学品生产企业，因此该项目建成后需办理该产品的危险化学品安全生产许可证</w:t>
            </w:r>
            <w:r>
              <w:rPr>
                <w:rFonts w:hint="eastAsia"/>
                <w:color w:val="auto"/>
                <w:sz w:val="21"/>
                <w:szCs w:val="21"/>
                <w:lang w:eastAsia="zh-CN"/>
              </w:rPr>
              <w:t>。</w:t>
            </w:r>
          </w:p>
        </w:tc>
      </w:tr>
      <w:tr w14:paraId="7E28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20115CC1">
            <w:pPr>
              <w:keepNext w:val="0"/>
              <w:keepLines w:val="0"/>
              <w:widowControl/>
              <w:suppressLineNumbers w:val="0"/>
              <w:spacing w:before="0" w:beforeAutospacing="0" w:after="150" w:afterAutospacing="0"/>
              <w:ind w:left="0" w:right="0"/>
              <w:jc w:val="center"/>
              <w:rPr>
                <w:rFonts w:hint="default"/>
                <w:color w:val="auto"/>
              </w:rPr>
            </w:pPr>
            <w:r>
              <w:rPr>
                <w:rFonts w:hint="eastAsia"/>
                <w:color w:val="auto"/>
                <w:sz w:val="24"/>
              </w:rPr>
              <w:t>工艺流程</w:t>
            </w:r>
          </w:p>
        </w:tc>
        <w:tc>
          <w:tcPr>
            <w:tcW w:w="8937" w:type="dxa"/>
            <w:gridSpan w:val="3"/>
            <w:tcBorders>
              <w:tl2br w:val="nil"/>
              <w:tr2bl w:val="nil"/>
            </w:tcBorders>
            <w:shd w:val="clear" w:color="auto" w:fill="FFFFFF"/>
          </w:tcPr>
          <w:p w14:paraId="397E79EE">
            <w:pPr>
              <w:pStyle w:val="5"/>
              <w:widowControl/>
              <w:suppressLineNumbers w:val="0"/>
              <w:spacing w:before="0" w:beforeAutospacing="0" w:after="0" w:afterAutospacing="0"/>
              <w:ind w:left="0" w:right="0"/>
              <w:rPr>
                <w:rFonts w:hint="eastAsia" w:ascii="宋体" w:hAnsi="宋体" w:eastAsia="宋体" w:cs="宋体"/>
                <w:color w:val="000000"/>
                <w:sz w:val="24"/>
                <w:szCs w:val="32"/>
                <w:lang w:val="en-US"/>
              </w:rPr>
            </w:pPr>
            <w:r>
              <w:rPr>
                <w:rFonts w:hint="eastAsia" w:ascii="宋体" w:hAnsi="宋体" w:eastAsia="宋体" w:cs="宋体"/>
                <w:color w:val="000000"/>
                <w:sz w:val="24"/>
                <w:szCs w:val="32"/>
                <w:lang w:val="en-US"/>
              </w:rPr>
              <w:t>1</w:t>
            </w:r>
            <w:r>
              <w:rPr>
                <w:rFonts w:hint="eastAsia" w:ascii="宋体" w:hAnsi="宋体" w:eastAsia="宋体" w:cs="宋体"/>
                <w:color w:val="000000"/>
                <w:sz w:val="24"/>
                <w:szCs w:val="32"/>
                <w:lang w:val="en-US" w:eastAsia="zh-CN"/>
              </w:rPr>
              <w:t>.水基型胶粘剂生产工艺（</w:t>
            </w:r>
            <w:r>
              <w:rPr>
                <w:rFonts w:hint="eastAsia" w:ascii="宋体" w:hAnsi="宋体" w:eastAsia="宋体" w:cs="宋体"/>
                <w:color w:val="000000"/>
                <w:sz w:val="24"/>
                <w:szCs w:val="32"/>
                <w:lang w:val="en-US"/>
              </w:rPr>
              <w:t>102</w:t>
            </w:r>
            <w:r>
              <w:rPr>
                <w:rFonts w:hint="eastAsia" w:ascii="宋体" w:hAnsi="宋体" w:eastAsia="宋体" w:cs="宋体"/>
                <w:color w:val="000000"/>
                <w:sz w:val="24"/>
                <w:szCs w:val="32"/>
                <w:lang w:val="en-US" w:eastAsia="zh-CN"/>
              </w:rPr>
              <w:t>甲类车间二）</w:t>
            </w:r>
          </w:p>
          <w:p w14:paraId="1F710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先往反应釜内加入 2143kg 的聚酯多元醇（聚酯多元醇经过烘箱融化成液态）和40kg丙酮，然后搅拌，用蒸汽升温到70℃时加入 169kg 的六亚甲基二异氰酸酯和112kg异佛尔酮二异氰酸酯，接着加入0.5kg左右的有机铋，控温75℃~78℃反应（蒸汽加热，循环水冷阀门控制），中间检测异氰酸酯的含量，约3-4小时达到设定的值时，降温到60℃，并加入丙酮2900kg，然后转移到乳化釜，当温度达到40℃~45℃时（蒸汽加热，循环水冷阀门控制），加入113kg氨基磺酸盐，反应约30分钟，然后加入去离子水2585kg，得到粗乳液，粗乳液转入脱溶釜。脱溶釜启动加热，控制温度60℃左右（蒸汽加热，循环水冷阀门控制），抽真空脱除丙酮，得到水基型胶粘剂。抽出的丙酮经过精制后再利用，得到的乳液加入增稠剂20KG U604、杀菌剂5KG LX150、4.5KG消泡剂691等即得到固成份约为 50%左右的水基型胶粘剂产品。丙酮通过脱溶釜负压蒸馏，经冷凝后粗丙酮回收于回收罐中，粗丙酮进入精馏塔中，通过精制回收再利用。整个反应过程均为常压下进行。在投料工序中储罐物料（丙酮）直接通过计量用泵抽到分散釜，其他物料由叉车运输到车间进行投料，液态物料采取泵输送，投料过程有集气罩，防止有机废气的逸散。整个工程均为常压下进行。生产过程采用园区集中供热蒸汽进行升温，降温为使用循环冷却水进行降温。</w:t>
            </w:r>
          </w:p>
          <w:p w14:paraId="3845A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丙酮精馏：丙酮精馏在精馏塔中进行负压精馏，气液两相通过逆流接触，进行相际传热传质。根据丙酮的沸点温度，控制精馏温度在56℃左右，脱溶抽取的丙酮混合液中的易挥发组分丙酮进入气相，剩余难挥发组分转入液相，于是在塔顶可得到几乎纯的易挥发组分丙酮，塔底可得到几乎纯的难挥发组分精馏釜液（接近纯水）。料液从塔的中部加入，进料口以上的塔段，把上升蒸气中易挥发组分丙酮进一步增浓，称为精馏段；进料口以下的塔段，从下降液体中提取易挥发组分，称为提馏段。从塔顶引出的气相经冷凝，一部分凝液作为回流液从塔顶返回精馏塔，其余馏出液即为塔顶产品。塔底引出的液体经再沸器部分气化，蒸气沿塔上升，余下的液体作为塔底产品。</w:t>
            </w:r>
          </w:p>
          <w:p w14:paraId="118EB2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水基型胶粘剂生产主反应化学反应方程式如下：</w:t>
            </w:r>
          </w:p>
          <w:p w14:paraId="37F28FB5">
            <w:pPr>
              <w:pStyle w:val="16"/>
              <w:keepNext w:val="0"/>
              <w:keepLines w:val="0"/>
              <w:widowControl w:val="0"/>
              <w:suppressLineNumbers w:val="0"/>
              <w:spacing w:before="0" w:beforeAutospacing="0" w:after="120" w:afterAutospacing="0" w:line="360" w:lineRule="auto"/>
              <w:ind w:left="0" w:right="0"/>
              <w:jc w:val="center"/>
              <w:rPr>
                <w:rFonts w:hint="default"/>
                <w:color w:val="000000"/>
                <w:sz w:val="24"/>
                <w:szCs w:val="24"/>
                <w:lang w:val="en-US"/>
              </w:rPr>
            </w:pPr>
            <w:r>
              <w:rPr>
                <w:rFonts w:hint="eastAsia" w:ascii="宋体" w:hAnsi="宋体" w:eastAsia="宋体" w:cs="宋体"/>
                <w:color w:val="000000"/>
                <w:kern w:val="2"/>
                <w:sz w:val="24"/>
                <w:szCs w:val="24"/>
                <w:lang w:val="en-US" w:eastAsia="zh-CN" w:bidi="ar"/>
              </w:rPr>
              <w:drawing>
                <wp:inline distT="0" distB="0" distL="114300" distR="114300">
                  <wp:extent cx="4391025" cy="2333625"/>
                  <wp:effectExtent l="0" t="0" r="9525" b="9525"/>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4"/>
                          <a:stretch>
                            <a:fillRect/>
                          </a:stretch>
                        </pic:blipFill>
                        <pic:spPr>
                          <a:xfrm>
                            <a:off x="0" y="0"/>
                            <a:ext cx="4391025" cy="2333625"/>
                          </a:xfrm>
                          <a:prstGeom prst="rect">
                            <a:avLst/>
                          </a:prstGeom>
                          <a:noFill/>
                          <a:ln>
                            <a:noFill/>
                          </a:ln>
                        </pic:spPr>
                      </pic:pic>
                    </a:graphicData>
                  </a:graphic>
                </wp:inline>
              </w:drawing>
            </w:r>
          </w:p>
          <w:p w14:paraId="03730012">
            <w:pPr>
              <w:keepNext w:val="0"/>
              <w:keepLines w:val="0"/>
              <w:widowControl w:val="0"/>
              <w:suppressLineNumbers w:val="0"/>
              <w:spacing w:before="0" w:beforeAutospacing="0" w:after="0" w:afterAutospacing="0" w:line="360" w:lineRule="auto"/>
              <w:ind w:left="0" w:right="0" w:firstLine="480" w:firstLineChars="200"/>
              <w:jc w:val="both"/>
              <w:rPr>
                <w:rFonts w:hint="default"/>
                <w:color w:val="000000"/>
                <w:sz w:val="24"/>
                <w:szCs w:val="24"/>
                <w:lang w:val="en-US"/>
              </w:rPr>
            </w:pPr>
            <w:r>
              <w:rPr>
                <w:rFonts w:hint="eastAsia" w:ascii="宋体" w:hAnsi="宋体" w:eastAsia="宋体" w:cs="宋体"/>
                <w:color w:val="000000"/>
                <w:kern w:val="2"/>
                <w:sz w:val="24"/>
                <w:szCs w:val="24"/>
                <w:lang w:val="en-US" w:eastAsia="zh-CN" w:bidi="ar"/>
              </w:rPr>
              <w:t>副反应方程式表述如下：</w:t>
            </w:r>
          </w:p>
          <w:p w14:paraId="595D574A">
            <w:pPr>
              <w:keepNext w:val="0"/>
              <w:keepLines w:val="0"/>
              <w:widowControl w:val="0"/>
              <w:suppressLineNumbers w:val="0"/>
              <w:spacing w:before="0" w:beforeAutospacing="0" w:after="0" w:afterAutospacing="0" w:line="360" w:lineRule="auto"/>
              <w:ind w:left="0" w:right="0" w:firstLine="480" w:firstLineChars="200"/>
              <w:jc w:val="both"/>
              <w:rPr>
                <w:rFonts w:hint="default"/>
                <w:color w:val="000000"/>
                <w:sz w:val="24"/>
                <w:szCs w:val="24"/>
                <w:lang w:val="en-US"/>
              </w:rPr>
            </w:pPr>
            <w:r>
              <w:rPr>
                <w:rFonts w:hint="eastAsia" w:ascii="宋体" w:hAnsi="宋体" w:eastAsia="宋体" w:cs="宋体"/>
                <w:color w:val="000000"/>
                <w:kern w:val="2"/>
                <w:sz w:val="24"/>
                <w:szCs w:val="24"/>
                <w:lang w:val="en-US" w:eastAsia="zh-CN" w:bidi="ar"/>
              </w:rPr>
              <w:t>其一为：异氰酸酯活性基团（R-NCO）原材料中含有微量的羧基杂质（R-COOH）之间的反应，本反应活性低。</w:t>
            </w:r>
          </w:p>
          <w:p w14:paraId="47AB027D">
            <w:pPr>
              <w:keepNext w:val="0"/>
              <w:keepLines w:val="0"/>
              <w:widowControl w:val="0"/>
              <w:suppressLineNumbers w:val="0"/>
              <w:spacing w:before="0" w:beforeAutospacing="0" w:after="0" w:afterAutospacing="0" w:line="360" w:lineRule="auto"/>
              <w:ind w:left="0" w:right="0"/>
              <w:jc w:val="center"/>
              <w:rPr>
                <w:rFonts w:hint="default" w:ascii="Calibri" w:hAnsi="Calibri" w:cs="宋体"/>
                <w:color w:val="000000"/>
                <w:sz w:val="24"/>
                <w:szCs w:val="24"/>
                <w:lang w:val="en-US"/>
              </w:rPr>
            </w:pPr>
            <w:r>
              <w:rPr>
                <w:rFonts w:hint="default" w:ascii="Calibri" w:hAnsi="Calibri" w:eastAsia="宋体" w:cs="宋体"/>
                <w:color w:val="000000"/>
                <w:kern w:val="2"/>
                <w:sz w:val="24"/>
                <w:szCs w:val="24"/>
                <w:lang w:val="en-US" w:eastAsia="zh-CN" w:bidi="ar"/>
              </w:rPr>
              <w:drawing>
                <wp:inline distT="0" distB="0" distL="114300" distR="114300">
                  <wp:extent cx="504825" cy="238125"/>
                  <wp:effectExtent l="0" t="0" r="9525" b="9525"/>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5"/>
                          <a:stretch>
                            <a:fillRect/>
                          </a:stretch>
                        </pic:blipFill>
                        <pic:spPr>
                          <a:xfrm>
                            <a:off x="0" y="0"/>
                            <a:ext cx="504825" cy="238125"/>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161925" cy="133350"/>
                  <wp:effectExtent l="0" t="0" r="9525"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676275" cy="190500"/>
                  <wp:effectExtent l="0" t="0" r="9525"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7"/>
                          <a:stretch>
                            <a:fillRect/>
                          </a:stretch>
                        </pic:blipFill>
                        <pic:spPr>
                          <a:xfrm>
                            <a:off x="0" y="0"/>
                            <a:ext cx="676275" cy="19050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400050" cy="190500"/>
                  <wp:effectExtent l="0" t="0" r="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8"/>
                          <a:stretch>
                            <a:fillRect/>
                          </a:stretch>
                        </pic:blipFill>
                        <pic:spPr>
                          <a:xfrm>
                            <a:off x="0" y="0"/>
                            <a:ext cx="400050" cy="19050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876300" cy="428625"/>
                  <wp:effectExtent l="0" t="0" r="0" b="9525"/>
                  <wp:docPr id="3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6"/>
                          <pic:cNvPicPr>
                            <a:picLocks noChangeAspect="1"/>
                          </pic:cNvPicPr>
                        </pic:nvPicPr>
                        <pic:blipFill>
                          <a:blip r:embed="rId9"/>
                          <a:stretch>
                            <a:fillRect/>
                          </a:stretch>
                        </pic:blipFill>
                        <pic:spPr>
                          <a:xfrm>
                            <a:off x="0" y="0"/>
                            <a:ext cx="876300" cy="428625"/>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161925" cy="133350"/>
                  <wp:effectExtent l="0" t="0" r="9525" b="0"/>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361950" cy="219075"/>
                  <wp:effectExtent l="0" t="0" r="0" b="952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0"/>
                          <a:stretch>
                            <a:fillRect/>
                          </a:stretch>
                        </pic:blipFill>
                        <pic:spPr>
                          <a:xfrm>
                            <a:off x="0" y="0"/>
                            <a:ext cx="361950" cy="219075"/>
                          </a:xfrm>
                          <a:prstGeom prst="rect">
                            <a:avLst/>
                          </a:prstGeom>
                          <a:noFill/>
                          <a:ln>
                            <a:noFill/>
                          </a:ln>
                        </pic:spPr>
                      </pic:pic>
                    </a:graphicData>
                  </a:graphic>
                </wp:inline>
              </w:drawing>
            </w:r>
          </w:p>
          <w:p w14:paraId="76BD91FC">
            <w:pPr>
              <w:keepNext w:val="0"/>
              <w:keepLines w:val="0"/>
              <w:widowControl w:val="0"/>
              <w:suppressLineNumbers w:val="0"/>
              <w:spacing w:before="0" w:beforeAutospacing="0" w:after="0" w:afterAutospacing="0" w:line="360" w:lineRule="auto"/>
              <w:ind w:left="0" w:right="0" w:firstLine="480" w:firstLineChars="200"/>
              <w:jc w:val="both"/>
              <w:rPr>
                <w:rFonts w:hint="default"/>
                <w:color w:val="000000"/>
                <w:sz w:val="24"/>
                <w:szCs w:val="24"/>
                <w:lang w:val="en-US"/>
              </w:rPr>
            </w:pPr>
            <w:r>
              <w:rPr>
                <w:rFonts w:hint="eastAsia" w:ascii="宋体" w:hAnsi="宋体" w:eastAsia="宋体" w:cs="宋体"/>
                <w:color w:val="000000"/>
                <w:kern w:val="2"/>
                <w:sz w:val="24"/>
                <w:szCs w:val="24"/>
                <w:lang w:val="en-US" w:eastAsia="zh-CN" w:bidi="ar"/>
              </w:rPr>
              <w:t>其二为：异氰酸酯活性基团（</w:t>
            </w:r>
            <w:r>
              <w:rPr>
                <w:rFonts w:hint="eastAsia" w:ascii="宋体" w:hAnsi="宋体" w:eastAsia="宋体" w:cs="宋体"/>
                <w:color w:val="000000"/>
                <w:kern w:val="2"/>
                <w:sz w:val="24"/>
                <w:szCs w:val="24"/>
                <w:lang w:val="en-US" w:eastAsia="zh-CN" w:bidi="ar"/>
              </w:rPr>
              <w:drawing>
                <wp:inline distT="0" distB="0" distL="114300" distR="114300">
                  <wp:extent cx="752475" cy="333375"/>
                  <wp:effectExtent l="0" t="0" r="9525" b="9525"/>
                  <wp:docPr id="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1"/>
                          <pic:cNvPicPr>
                            <a:picLocks noChangeAspect="1"/>
                          </pic:cNvPicPr>
                        </pic:nvPicPr>
                        <pic:blipFill>
                          <a:blip r:embed="rId11"/>
                          <a:stretch>
                            <a:fillRect/>
                          </a:stretch>
                        </pic:blipFill>
                        <pic:spPr>
                          <a:xfrm>
                            <a:off x="0" y="0"/>
                            <a:ext cx="752475" cy="333375"/>
                          </a:xfrm>
                          <a:prstGeom prst="rect">
                            <a:avLst/>
                          </a:prstGeom>
                          <a:noFill/>
                          <a:ln>
                            <a:noFill/>
                          </a:ln>
                        </pic:spPr>
                      </pic:pic>
                    </a:graphicData>
                  </a:graphic>
                </wp:inline>
              </w:drawing>
            </w:r>
            <w:r>
              <w:rPr>
                <w:rFonts w:hint="eastAsia" w:ascii="宋体" w:hAnsi="宋体" w:eastAsia="宋体" w:cs="宋体"/>
                <w:color w:val="000000"/>
                <w:kern w:val="2"/>
                <w:sz w:val="24"/>
                <w:szCs w:val="24"/>
                <w:lang w:val="en-US" w:eastAsia="zh-CN" w:bidi="ar"/>
              </w:rPr>
              <w:t>）原材料中含有微量的水份（H2O）之间的反应，生成了氨基甲酸酯，当然也可以生成脲基甲酸酯，但反应活性更低了。</w:t>
            </w:r>
          </w:p>
          <w:p w14:paraId="11651930">
            <w:pPr>
              <w:keepNext w:val="0"/>
              <w:keepLines w:val="0"/>
              <w:widowControl w:val="0"/>
              <w:suppressLineNumbers w:val="0"/>
              <w:spacing w:before="0" w:beforeAutospacing="0" w:after="0" w:afterAutospacing="0" w:line="360" w:lineRule="auto"/>
              <w:ind w:left="0" w:right="0"/>
              <w:jc w:val="center"/>
              <w:rPr>
                <w:rFonts w:hint="default" w:ascii="Calibri" w:hAnsi="Calibri" w:cs="宋体"/>
                <w:color w:val="000000"/>
                <w:szCs w:val="28"/>
                <w:lang w:val="en-US"/>
              </w:rPr>
            </w:pPr>
            <w:r>
              <w:rPr>
                <w:rFonts w:hint="default" w:ascii="Calibri" w:hAnsi="Calibri" w:eastAsia="宋体" w:cs="宋体"/>
                <w:color w:val="000000"/>
                <w:kern w:val="2"/>
                <w:sz w:val="28"/>
                <w:szCs w:val="28"/>
                <w:lang w:val="en-US" w:eastAsia="zh-CN" w:bidi="ar"/>
              </w:rPr>
              <w:drawing>
                <wp:inline distT="0" distB="0" distL="114300" distR="114300">
                  <wp:extent cx="504825" cy="238125"/>
                  <wp:effectExtent l="0" t="0" r="9525" b="9525"/>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5"/>
                          <a:stretch>
                            <a:fillRect/>
                          </a:stretch>
                        </pic:blipFill>
                        <pic:spPr>
                          <a:xfrm>
                            <a:off x="0" y="0"/>
                            <a:ext cx="504825" cy="23812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61925" cy="133350"/>
                  <wp:effectExtent l="0" t="0" r="9525" b="0"/>
                  <wp:docPr id="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314325" cy="238125"/>
                  <wp:effectExtent l="0" t="0" r="9525" b="952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2"/>
                          <a:stretch>
                            <a:fillRect/>
                          </a:stretch>
                        </pic:blipFill>
                        <pic:spPr>
                          <a:xfrm>
                            <a:off x="0" y="0"/>
                            <a:ext cx="314325" cy="23812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400050" cy="190500"/>
                  <wp:effectExtent l="0" t="0" r="0"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8"/>
                          <a:stretch>
                            <a:fillRect/>
                          </a:stretch>
                        </pic:blipFill>
                        <pic:spPr>
                          <a:xfrm>
                            <a:off x="0" y="0"/>
                            <a:ext cx="400050" cy="19050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361950" cy="219075"/>
                  <wp:effectExtent l="0" t="0" r="0" b="952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0"/>
                          <a:stretch>
                            <a:fillRect/>
                          </a:stretch>
                        </pic:blipFill>
                        <pic:spPr>
                          <a:xfrm>
                            <a:off x="0" y="0"/>
                            <a:ext cx="361950" cy="21907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61925" cy="133350"/>
                  <wp:effectExtent l="0" t="0" r="9525"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638175" cy="228600"/>
                  <wp:effectExtent l="0" t="0" r="9525"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13"/>
                          <a:stretch>
                            <a:fillRect/>
                          </a:stretch>
                        </pic:blipFill>
                        <pic:spPr>
                          <a:xfrm>
                            <a:off x="0" y="0"/>
                            <a:ext cx="638175" cy="22860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638175" cy="247650"/>
                  <wp:effectExtent l="0" t="0" r="9525"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9"/>
                          <pic:cNvPicPr>
                            <a:picLocks noChangeAspect="1"/>
                          </pic:cNvPicPr>
                        </pic:nvPicPr>
                        <pic:blipFill>
                          <a:blip r:embed="rId14"/>
                          <a:stretch>
                            <a:fillRect/>
                          </a:stretch>
                        </pic:blipFill>
                        <pic:spPr>
                          <a:xfrm>
                            <a:off x="0" y="0"/>
                            <a:ext cx="638175" cy="2476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104900" cy="409575"/>
                  <wp:effectExtent l="0" t="0" r="0" b="9525"/>
                  <wp:docPr id="4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0"/>
                          <pic:cNvPicPr>
                            <a:picLocks noChangeAspect="1"/>
                          </pic:cNvPicPr>
                        </pic:nvPicPr>
                        <pic:blipFill>
                          <a:blip r:embed="rId15"/>
                          <a:stretch>
                            <a:fillRect/>
                          </a:stretch>
                        </pic:blipFill>
                        <pic:spPr>
                          <a:xfrm>
                            <a:off x="0" y="0"/>
                            <a:ext cx="1104900" cy="409575"/>
                          </a:xfrm>
                          <a:prstGeom prst="rect">
                            <a:avLst/>
                          </a:prstGeom>
                          <a:noFill/>
                          <a:ln>
                            <a:noFill/>
                          </a:ln>
                        </pic:spPr>
                      </pic:pic>
                    </a:graphicData>
                  </a:graphic>
                </wp:inline>
              </w:drawing>
            </w:r>
          </w:p>
          <w:p w14:paraId="586C569D">
            <w:pPr>
              <w:keepNext w:val="0"/>
              <w:keepLines w:val="0"/>
              <w:widowControl w:val="0"/>
              <w:suppressLineNumbers w:val="0"/>
              <w:spacing w:before="0" w:beforeAutospacing="0" w:after="0" w:afterAutospacing="0" w:line="360" w:lineRule="auto"/>
              <w:ind w:left="0" w:right="0"/>
              <w:jc w:val="center"/>
              <w:rPr>
                <w:rFonts w:hint="default" w:ascii="Calibri" w:hAnsi="Calibri" w:cs="宋体"/>
                <w:color w:val="000000"/>
                <w:szCs w:val="28"/>
                <w:lang w:val="en-US"/>
              </w:rPr>
            </w:pPr>
            <w:r>
              <w:rPr>
                <w:rFonts w:hint="default" w:ascii="Calibri" w:hAnsi="Calibri" w:eastAsia="宋体" w:cs="宋体"/>
                <w:color w:val="000000"/>
                <w:kern w:val="0"/>
                <w:sz w:val="28"/>
                <w:szCs w:val="28"/>
                <w:lang w:val="en-US" w:eastAsia="zh-CN" w:bidi="ar"/>
              </w:rPr>
              <w:drawing>
                <wp:inline distT="0" distB="0" distL="114300" distR="114300">
                  <wp:extent cx="619125" cy="257175"/>
                  <wp:effectExtent l="0" t="0" r="9525" b="9525"/>
                  <wp:docPr id="3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1"/>
                          <pic:cNvPicPr>
                            <a:picLocks noChangeAspect="1"/>
                          </pic:cNvPicPr>
                        </pic:nvPicPr>
                        <pic:blipFill>
                          <a:blip r:embed="rId16"/>
                          <a:stretch>
                            <a:fillRect/>
                          </a:stretch>
                        </pic:blipFill>
                        <pic:spPr>
                          <a:xfrm>
                            <a:off x="0" y="0"/>
                            <a:ext cx="619125" cy="257175"/>
                          </a:xfrm>
                          <a:prstGeom prst="rect">
                            <a:avLst/>
                          </a:prstGeom>
                          <a:noFill/>
                          <a:ln>
                            <a:noFill/>
                          </a:ln>
                        </pic:spPr>
                      </pic:pic>
                    </a:graphicData>
                  </a:graphic>
                </wp:inline>
              </w:drawing>
            </w:r>
            <w:r>
              <w:rPr>
                <w:rFonts w:hint="default" w:ascii="Calibri" w:hAnsi="Calibri" w:eastAsia="宋体" w:cs="宋体"/>
                <w:color w:val="000000"/>
                <w:kern w:val="0"/>
                <w:sz w:val="28"/>
                <w:szCs w:val="28"/>
                <w:lang w:val="en-US" w:eastAsia="zh-CN" w:bidi="ar"/>
              </w:rPr>
              <w:drawing>
                <wp:inline distT="0" distB="0" distL="114300" distR="114300">
                  <wp:extent cx="1104900" cy="1190625"/>
                  <wp:effectExtent l="0" t="0" r="0" b="9525"/>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17"/>
                          <a:stretch>
                            <a:fillRect/>
                          </a:stretch>
                        </pic:blipFill>
                        <pic:spPr>
                          <a:xfrm>
                            <a:off x="0" y="0"/>
                            <a:ext cx="1104900" cy="1190625"/>
                          </a:xfrm>
                          <a:prstGeom prst="rect">
                            <a:avLst/>
                          </a:prstGeom>
                          <a:noFill/>
                          <a:ln>
                            <a:noFill/>
                          </a:ln>
                        </pic:spPr>
                      </pic:pic>
                    </a:graphicData>
                  </a:graphic>
                </wp:inline>
              </w:drawing>
            </w:r>
          </w:p>
          <w:p w14:paraId="55944DF1">
            <w:pPr>
              <w:keepNext w:val="0"/>
              <w:keepLines w:val="0"/>
              <w:widowControl w:val="0"/>
              <w:suppressLineNumbers w:val="0"/>
              <w:spacing w:before="0" w:beforeAutospacing="0" w:after="0" w:afterAutospacing="0" w:line="360" w:lineRule="auto"/>
              <w:ind w:left="0" w:right="0"/>
              <w:jc w:val="both"/>
              <w:rPr>
                <w:rFonts w:hint="default"/>
                <w:color w:val="000000"/>
                <w:lang w:val="en-US"/>
              </w:rPr>
            </w:pPr>
          </w:p>
          <w:p w14:paraId="1970D7E9">
            <w:pPr>
              <w:pStyle w:val="16"/>
              <w:keepNext w:val="0"/>
              <w:keepLines w:val="0"/>
              <w:widowControl w:val="0"/>
              <w:suppressLineNumbers w:val="0"/>
              <w:spacing w:before="0" w:beforeAutospacing="0" w:after="120" w:afterAutospacing="0" w:line="360" w:lineRule="auto"/>
              <w:ind w:left="0" w:right="0"/>
              <w:jc w:val="center"/>
              <w:rPr>
                <w:rFonts w:hint="default"/>
                <w:color w:val="000000"/>
                <w:lang w:val="en-US"/>
              </w:rPr>
            </w:pPr>
            <w:r>
              <w:rPr>
                <w:rFonts w:hint="eastAsia" w:ascii="宋体" w:hAnsi="宋体" w:eastAsia="宋体" w:cs="宋体"/>
                <w:color w:val="000000"/>
                <w:kern w:val="2"/>
                <w:sz w:val="24"/>
                <w:szCs w:val="24"/>
                <w:lang w:val="en-US" w:eastAsia="zh-CN" w:bidi="ar"/>
              </w:rPr>
              <w:drawing>
                <wp:inline distT="0" distB="0" distL="114300" distR="114300">
                  <wp:extent cx="5267325" cy="5219700"/>
                  <wp:effectExtent l="0" t="0" r="9525" b="0"/>
                  <wp:docPr id="40"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descr="IMG_256"/>
                          <pic:cNvPicPr>
                            <a:picLocks noChangeAspect="1"/>
                          </pic:cNvPicPr>
                        </pic:nvPicPr>
                        <pic:blipFill>
                          <a:blip r:embed="rId18"/>
                          <a:stretch>
                            <a:fillRect/>
                          </a:stretch>
                        </pic:blipFill>
                        <pic:spPr>
                          <a:xfrm>
                            <a:off x="0" y="0"/>
                            <a:ext cx="5267325" cy="5219700"/>
                          </a:xfrm>
                          <a:prstGeom prst="rect">
                            <a:avLst/>
                          </a:prstGeom>
                          <a:noFill/>
                          <a:ln>
                            <a:noFill/>
                          </a:ln>
                        </pic:spPr>
                      </pic:pic>
                    </a:graphicData>
                  </a:graphic>
                </wp:inline>
              </w:drawing>
            </w:r>
          </w:p>
          <w:p w14:paraId="4EF4A55D">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zh-CN" w:eastAsia="zh-CN"/>
              </w:rPr>
            </w:pPr>
            <w:r>
              <w:rPr>
                <w:rFonts w:hint="eastAsia" w:ascii="黑体" w:hAnsi="宋体" w:eastAsia="黑体" w:cs="黑体"/>
                <w:b/>
                <w:bCs/>
                <w:color w:val="000000"/>
                <w:kern w:val="2"/>
                <w:sz w:val="24"/>
                <w:szCs w:val="24"/>
                <w:lang w:val="en-US" w:eastAsia="zh-CN" w:bidi="ar"/>
              </w:rPr>
              <w:t xml:space="preserve">图1-1  </w:t>
            </w:r>
            <w:r>
              <w:rPr>
                <w:rFonts w:hint="eastAsia" w:ascii="黑体" w:hAnsi="宋体" w:eastAsia="黑体" w:cs="黑体"/>
                <w:b/>
                <w:bCs w:val="0"/>
                <w:color w:val="000000"/>
                <w:kern w:val="2"/>
                <w:sz w:val="24"/>
                <w:szCs w:val="24"/>
                <w:lang w:val="en-US" w:eastAsia="zh-CN" w:bidi="ar"/>
              </w:rPr>
              <w:t>水基型胶粘剂生产工艺流程方框图</w:t>
            </w:r>
          </w:p>
          <w:p w14:paraId="335ED82F">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val="0"/>
                <w:color w:val="000000"/>
                <w:sz w:val="24"/>
                <w:szCs w:val="22"/>
                <w:lang w:val="en-US"/>
              </w:rPr>
            </w:pPr>
            <w:r>
              <w:rPr>
                <w:rFonts w:hint="eastAsia" w:ascii="黑体" w:hAnsi="宋体" w:eastAsia="黑体" w:cs="黑体"/>
                <w:b/>
                <w:bCs w:val="0"/>
                <w:color w:val="000000"/>
                <w:kern w:val="2"/>
                <w:sz w:val="24"/>
                <w:szCs w:val="22"/>
                <w:lang w:val="en-US" w:eastAsia="zh-CN" w:bidi="ar"/>
              </w:rPr>
              <w:t>表1-1  水基型胶粘剂总物料平衡表（单位：kg/批）</w:t>
            </w:r>
          </w:p>
          <w:tbl>
            <w:tblPr>
              <w:tblStyle w:val="23"/>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6"/>
              <w:gridCol w:w="2146"/>
              <w:gridCol w:w="1812"/>
              <w:gridCol w:w="755"/>
              <w:gridCol w:w="2258"/>
              <w:gridCol w:w="1188"/>
            </w:tblGrid>
            <w:tr w14:paraId="5B83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3BEF9FD">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7DCB31">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FAFF007">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3EB1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8C8A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0D29532">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62DE728">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3540201">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426B746">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3960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FC5531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6EF09C0">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聚酯多元醇</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296FB5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2143</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680EDAF">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水基型胶粘剂（含丙酮194.3）</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16E8CE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5000</w:t>
                  </w:r>
                </w:p>
              </w:tc>
            </w:tr>
            <w:tr w14:paraId="3D0F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73AB51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53AA1A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丙酮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18CC7C8">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2941</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797A9C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废气</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5F87938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G9-1TVOC（丙酮）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D5C2F50">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0.1</w:t>
                  </w:r>
                </w:p>
              </w:tc>
            </w:tr>
            <w:tr w14:paraId="2A0A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14CA6A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AD341AF">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六亚甲基二异氰酸酯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150FC03">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169</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7FE0F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5C2E9BB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G9-2TVOC（六亚甲基二异氰酸酯、异佛尔酮二异氰酸酯）</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5CE522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0.1（0.06、0.04）</w:t>
                  </w:r>
                </w:p>
              </w:tc>
            </w:tr>
            <w:tr w14:paraId="22F0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8C99E1D">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663B31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异佛尔酮二异氰酸酯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DE93827">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110.95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A7E1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3A462C0">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G9-3TVOC（六亚甲基二异氰酸酯、异佛尔酮二异氰酸酯、丙酮）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BB03F09">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0.25（0.03、0.02、0.2）</w:t>
                  </w:r>
                </w:p>
              </w:tc>
            </w:tr>
            <w:tr w14:paraId="22CE8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ED6CE4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5</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FCB65CC">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有机铋</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06E421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CEAE3C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568C63FC">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G9-4TVOC（丙酮）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16B67C2">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w:t>
                  </w:r>
                </w:p>
              </w:tc>
            </w:tr>
            <w:tr w14:paraId="65E0A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FFB11EB">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6</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247241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氨基磺酸盐</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DF8E548">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113</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1ECF2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6954E11">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G9-5TVOC（丙酮）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F53875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0.8</w:t>
                  </w:r>
                </w:p>
              </w:tc>
            </w:tr>
            <w:tr w14:paraId="54E9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BA9AD73">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7</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ABB08C5">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去离子水</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3CA4DD2B">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2584.5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327999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6C64269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G9-6TVOC（丙酮）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1AD7453">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0.1</w:t>
                  </w:r>
                </w:p>
              </w:tc>
            </w:tr>
            <w:tr w14:paraId="1D85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950598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8</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61E4C25">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增稠剂U604</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0879147">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0A5AA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FEC0B3B">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G9-7TVOC（丙酮）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61D82C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0.1</w:t>
                  </w:r>
                </w:p>
              </w:tc>
            </w:tr>
            <w:tr w14:paraId="413D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74C1909">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9</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33999F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消泡剂DF 691</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4FB041B">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4.5</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9D8F44E">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回用</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7F082A8">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回收丙酮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1FEE24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2743</w:t>
                  </w:r>
                </w:p>
              </w:tc>
            </w:tr>
            <w:tr w14:paraId="4031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54CE336">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10</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407A518">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杀菌剂LX150</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095296C">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CA499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3F63BBD">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蒸馏釜液（丙酮）</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B29F41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346（1.5）</w:t>
                  </w:r>
                </w:p>
              </w:tc>
            </w:tr>
            <w:tr w14:paraId="0A5B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3A48624">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7A48938">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3C78229">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8091.45</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A03F9A">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B98E5E0">
                  <w:pPr>
                    <w:keepNext w:val="0"/>
                    <w:keepLines w:val="0"/>
                    <w:widowControl/>
                    <w:suppressLineNumbers w:val="0"/>
                    <w:spacing w:before="0" w:beforeAutospacing="0" w:after="0" w:afterAutospacing="0" w:line="360" w:lineRule="auto"/>
                    <w:ind w:left="0" w:right="0"/>
                    <w:jc w:val="center"/>
                    <w:textAlignment w:val="center"/>
                    <w:rPr>
                      <w:rFonts w:hint="default" w:ascii="宋体" w:hAnsi="宋体" w:eastAsia="宋体"/>
                      <w:color w:val="000000"/>
                      <w:kern w:val="0"/>
                      <w:sz w:val="21"/>
                      <w:szCs w:val="21"/>
                      <w:lang w:val="en-US" w:bidi="ar"/>
                    </w:rPr>
                  </w:pPr>
                  <w:r>
                    <w:rPr>
                      <w:rFonts w:hint="eastAsia" w:ascii="宋体" w:hAnsi="宋体" w:eastAsia="宋体" w:cs="宋体"/>
                      <w:color w:val="000000"/>
                      <w:kern w:val="0"/>
                      <w:sz w:val="21"/>
                      <w:szCs w:val="21"/>
                      <w:lang w:val="en-US" w:eastAsia="zh-CN" w:bidi="ar"/>
                    </w:rPr>
                    <w:t>8091.45</w:t>
                  </w:r>
                </w:p>
              </w:tc>
            </w:tr>
          </w:tbl>
          <w:p w14:paraId="74B16839">
            <w:pPr>
              <w:keepNext w:val="0"/>
              <w:keepLines w:val="0"/>
              <w:widowControl w:val="0"/>
              <w:suppressLineNumbers w:val="0"/>
              <w:spacing w:before="0" w:beforeAutospacing="0" w:after="0" w:afterAutospacing="0" w:line="240" w:lineRule="exact"/>
              <w:ind w:left="0" w:right="0"/>
              <w:jc w:val="both"/>
              <w:rPr>
                <w:rFonts w:hint="default"/>
                <w:color w:val="000000"/>
                <w:lang w:val="en-US"/>
              </w:rPr>
            </w:pPr>
          </w:p>
          <w:p w14:paraId="4FD66AE0">
            <w:pPr>
              <w:pStyle w:val="5"/>
              <w:widowControl/>
              <w:suppressLineNumbers w:val="0"/>
              <w:spacing w:before="0" w:beforeAutospacing="0" w:after="0" w:afterAutospacing="0"/>
              <w:ind w:left="0" w:right="0"/>
              <w:rPr>
                <w:rFonts w:hint="eastAsia" w:ascii="宋体" w:hAnsi="宋体" w:eastAsia="宋体" w:cs="宋体"/>
                <w:color w:val="000000"/>
                <w:sz w:val="24"/>
                <w:szCs w:val="32"/>
                <w:lang w:val="en-US"/>
              </w:rPr>
            </w:pPr>
            <w:r>
              <w:rPr>
                <w:rFonts w:hint="eastAsia" w:ascii="宋体" w:hAnsi="宋体" w:eastAsia="宋体" w:cs="宋体"/>
                <w:color w:val="000000"/>
                <w:sz w:val="24"/>
                <w:szCs w:val="32"/>
                <w:lang w:val="en-US"/>
              </w:rPr>
              <w:t>2.</w:t>
            </w:r>
            <w:r>
              <w:rPr>
                <w:rFonts w:hint="eastAsia" w:ascii="宋体" w:hAnsi="宋体" w:eastAsia="宋体" w:cs="宋体"/>
                <w:color w:val="000000"/>
                <w:sz w:val="24"/>
                <w:szCs w:val="32"/>
                <w:lang w:val="en-US" w:eastAsia="zh-CN"/>
              </w:rPr>
              <w:t>纳米硅氧烷改性的油墨合成树脂生产工艺（</w:t>
            </w:r>
            <w:r>
              <w:rPr>
                <w:rFonts w:hint="eastAsia" w:ascii="宋体" w:hAnsi="宋体" w:eastAsia="宋体" w:cs="宋体"/>
                <w:color w:val="000000"/>
                <w:sz w:val="24"/>
                <w:szCs w:val="32"/>
                <w:lang w:val="en-US"/>
              </w:rPr>
              <w:t>102</w:t>
            </w:r>
            <w:r>
              <w:rPr>
                <w:rFonts w:hint="eastAsia" w:ascii="宋体" w:hAnsi="宋体" w:eastAsia="宋体" w:cs="宋体"/>
                <w:color w:val="000000"/>
                <w:sz w:val="24"/>
                <w:szCs w:val="32"/>
                <w:lang w:val="en-US" w:eastAsia="zh-CN"/>
              </w:rPr>
              <w:t>甲类车间二）</w:t>
            </w:r>
          </w:p>
          <w:p w14:paraId="12985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先往反应釜内加入1.44t聚酯多元醇（聚酯多元醇经过烘箱融化成液态）、1t的甲苯、1.85kg的1,4-丁二醇，搅拌下于75℃左右（蒸汽加热）加入103kg的六亚甲基二氰酸酯进行反应，控制温度在80℃~90℃之间（蒸汽加热，循环水冷阀门控制），反应30分钟后加入1.2kg有机铋，反应时间约2.5h-3.0h，当反应搅拌电流达到90A左右时，投入甲苯0.94t和乙二醇1.85kg，控温熟成1.5小时（蒸汽加热，循环水冷阀门控制），接着停止加热，并通入冷却水，加入碳酸二甲酯343kg、乙酸甲酯1.161t、丁酮1.143t、丙酮1.83t等稀释，并转移到调整釜。接着进行改性反应，加入约8kg的硅烷偶联剂KH560，然后加入24kg纳米QS102，继续搅拌反应1h，然后，转移到稳定釜中，经检验测试合格后包装。在投料工序中储罐物料（甲苯、碳酸二甲酯、乙酸甲酯、丁酮、丙酮）直接通过计量用泵抽到反应釜，其他物料由叉车运输到车间进行投料，液态物料采取泵输送，投料过程有集气罩，防止有机废气的逸散。整个反应过程均为常压下进行。生产过程采用园区集中供热蒸汽进行升温，降温为使用循环冷却水进行降温。</w:t>
            </w:r>
          </w:p>
          <w:p w14:paraId="1B0605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纳米硅氧烷改性油墨树脂生产过程涉及的聚合反应方程式如下：</w:t>
            </w:r>
          </w:p>
          <w:p w14:paraId="0DAB16E7">
            <w:pPr>
              <w:pStyle w:val="22"/>
              <w:widowControl/>
              <w:spacing w:before="0" w:beforeAutospacing="0" w:after="120" w:afterAutospacing="0"/>
              <w:ind w:left="420" w:leftChars="200" w:right="0" w:firstLine="480"/>
              <w:rPr>
                <w:color w:val="000000"/>
                <w:lang w:eastAsia="zh-CN"/>
              </w:rPr>
            </w:pPr>
            <w:r>
              <w:rPr>
                <w:color w:val="000000"/>
                <w:lang w:eastAsia="zh-CN"/>
              </w:rPr>
              <w:drawing>
                <wp:inline distT="0" distB="0" distL="114300" distR="114300">
                  <wp:extent cx="4381500" cy="2609850"/>
                  <wp:effectExtent l="0" t="0" r="0" b="0"/>
                  <wp:docPr id="3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3"/>
                          <pic:cNvPicPr>
                            <a:picLocks noChangeAspect="1"/>
                          </pic:cNvPicPr>
                        </pic:nvPicPr>
                        <pic:blipFill>
                          <a:blip r:embed="rId19"/>
                          <a:stretch>
                            <a:fillRect/>
                          </a:stretch>
                        </pic:blipFill>
                        <pic:spPr>
                          <a:xfrm>
                            <a:off x="0" y="0"/>
                            <a:ext cx="4381500" cy="2609850"/>
                          </a:xfrm>
                          <a:prstGeom prst="rect">
                            <a:avLst/>
                          </a:prstGeom>
                          <a:noFill/>
                          <a:ln>
                            <a:noFill/>
                          </a:ln>
                        </pic:spPr>
                      </pic:pic>
                    </a:graphicData>
                  </a:graphic>
                </wp:inline>
              </w:drawing>
            </w:r>
          </w:p>
          <w:p w14:paraId="631E4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ascii="Calibri" w:hAnsi="Calibri" w:cs="宋体"/>
                <w:color w:val="000000"/>
                <w:sz w:val="24"/>
                <w:szCs w:val="24"/>
                <w:lang w:val="en-US"/>
              </w:rPr>
            </w:pPr>
            <w:r>
              <w:rPr>
                <w:rFonts w:hint="eastAsia" w:ascii="Calibri" w:hAnsi="Calibri" w:eastAsia="宋体" w:cs="宋体"/>
                <w:color w:val="000000"/>
                <w:kern w:val="2"/>
                <w:sz w:val="24"/>
                <w:szCs w:val="24"/>
                <w:lang w:val="en-US" w:eastAsia="zh-CN" w:bidi="ar"/>
              </w:rPr>
              <w:t>水基型粘合剂的副反应和合成树脂类似，区别在于反应的时间和量的多少有些微的区别，预聚阶段差不多，乳化分散阶段主要发生的副反应是（</w:t>
            </w:r>
            <w:r>
              <w:rPr>
                <w:rFonts w:hint="default" w:ascii="Calibri" w:hAnsi="Calibri" w:eastAsia="宋体" w:cs="宋体"/>
                <w:color w:val="000000"/>
                <w:kern w:val="2"/>
                <w:sz w:val="24"/>
                <w:szCs w:val="24"/>
                <w:lang w:val="en-US" w:eastAsia="zh-CN" w:bidi="ar"/>
              </w:rPr>
              <w:drawing>
                <wp:inline distT="0" distB="0" distL="114300" distR="114300">
                  <wp:extent cx="542925" cy="228600"/>
                  <wp:effectExtent l="0" t="0" r="9525" b="0"/>
                  <wp:docPr id="4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4"/>
                          <pic:cNvPicPr>
                            <a:picLocks noChangeAspect="1"/>
                          </pic:cNvPicPr>
                        </pic:nvPicPr>
                        <pic:blipFill>
                          <a:blip r:embed="rId20"/>
                          <a:stretch>
                            <a:fillRect/>
                          </a:stretch>
                        </pic:blipFill>
                        <pic:spPr>
                          <a:xfrm>
                            <a:off x="0" y="0"/>
                            <a:ext cx="542925" cy="228600"/>
                          </a:xfrm>
                          <a:prstGeom prst="rect">
                            <a:avLst/>
                          </a:prstGeom>
                          <a:noFill/>
                          <a:ln>
                            <a:noFill/>
                          </a:ln>
                        </pic:spPr>
                      </pic:pic>
                    </a:graphicData>
                  </a:graphic>
                </wp:inline>
              </w:drawing>
            </w:r>
            <w:r>
              <w:rPr>
                <w:rFonts w:hint="eastAsia" w:ascii="Calibri" w:hAnsi="Calibri" w:eastAsia="宋体" w:cs="宋体"/>
                <w:color w:val="000000"/>
                <w:kern w:val="2"/>
                <w:sz w:val="24"/>
                <w:szCs w:val="24"/>
                <w:lang w:val="en-US" w:eastAsia="zh-CN" w:bidi="ar"/>
              </w:rPr>
              <w:t>）与水的反应。</w:t>
            </w:r>
          </w:p>
          <w:p w14:paraId="1A75B8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ascii="Calibri" w:hAnsi="Calibri" w:cs="宋体"/>
                <w:color w:val="000000"/>
                <w:sz w:val="24"/>
                <w:szCs w:val="24"/>
                <w:lang w:val="en-US"/>
              </w:rPr>
            </w:pPr>
            <w:r>
              <w:rPr>
                <w:rFonts w:hint="eastAsia" w:ascii="Calibri" w:hAnsi="Calibri" w:eastAsia="宋体" w:cs="宋体"/>
                <w:color w:val="000000"/>
                <w:kern w:val="2"/>
                <w:sz w:val="24"/>
                <w:szCs w:val="24"/>
                <w:lang w:val="en-US" w:eastAsia="zh-CN" w:bidi="ar"/>
              </w:rPr>
              <w:t>副反应方程式表述如下：</w:t>
            </w:r>
          </w:p>
          <w:p w14:paraId="064565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ascii="Calibri" w:hAnsi="Calibri" w:cs="宋体"/>
                <w:color w:val="000000"/>
                <w:sz w:val="24"/>
                <w:szCs w:val="24"/>
                <w:lang w:val="en-US"/>
              </w:rPr>
            </w:pPr>
            <w:r>
              <w:rPr>
                <w:rFonts w:hint="eastAsia" w:ascii="Calibri" w:hAnsi="Calibri" w:eastAsia="宋体" w:cs="宋体"/>
                <w:color w:val="000000"/>
                <w:kern w:val="2"/>
                <w:sz w:val="24"/>
                <w:szCs w:val="24"/>
                <w:lang w:val="en-US" w:eastAsia="zh-CN" w:bidi="ar"/>
              </w:rPr>
              <w:t>其一为：异氰酸酯活性基团（</w:t>
            </w:r>
            <w:r>
              <w:rPr>
                <w:rFonts w:hint="default" w:ascii="Calibri" w:hAnsi="Calibri" w:eastAsia="宋体" w:cs="宋体"/>
                <w:color w:val="000000"/>
                <w:kern w:val="2"/>
                <w:sz w:val="24"/>
                <w:szCs w:val="24"/>
                <w:lang w:val="en-US" w:eastAsia="zh-CN" w:bidi="ar"/>
              </w:rPr>
              <w:drawing>
                <wp:inline distT="0" distB="0" distL="114300" distR="114300">
                  <wp:extent cx="752475" cy="333375"/>
                  <wp:effectExtent l="0" t="0" r="9525" b="9525"/>
                  <wp:docPr id="1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5"/>
                          <pic:cNvPicPr>
                            <a:picLocks noChangeAspect="1"/>
                          </pic:cNvPicPr>
                        </pic:nvPicPr>
                        <pic:blipFill>
                          <a:blip r:embed="rId11"/>
                          <a:stretch>
                            <a:fillRect/>
                          </a:stretch>
                        </pic:blipFill>
                        <pic:spPr>
                          <a:xfrm>
                            <a:off x="0" y="0"/>
                            <a:ext cx="752475" cy="333375"/>
                          </a:xfrm>
                          <a:prstGeom prst="rect">
                            <a:avLst/>
                          </a:prstGeom>
                          <a:noFill/>
                          <a:ln>
                            <a:noFill/>
                          </a:ln>
                        </pic:spPr>
                      </pic:pic>
                    </a:graphicData>
                  </a:graphic>
                </wp:inline>
              </w:drawing>
            </w:r>
            <w:r>
              <w:rPr>
                <w:rFonts w:hint="eastAsia" w:ascii="Calibri" w:hAnsi="Calibri" w:eastAsia="宋体" w:cs="宋体"/>
                <w:color w:val="000000"/>
                <w:kern w:val="2"/>
                <w:sz w:val="24"/>
                <w:szCs w:val="24"/>
                <w:lang w:val="en-US" w:eastAsia="zh-CN" w:bidi="ar"/>
              </w:rPr>
              <w:t>）原材料中含有微量的羧基杂质（</w:t>
            </w:r>
            <w:r>
              <w:rPr>
                <w:rFonts w:hint="default" w:ascii="Calibri" w:hAnsi="Calibri" w:eastAsia="宋体" w:cs="宋体"/>
                <w:color w:val="000000"/>
                <w:kern w:val="2"/>
                <w:sz w:val="24"/>
                <w:szCs w:val="24"/>
                <w:lang w:val="en-US" w:eastAsia="zh-CN" w:bidi="ar"/>
              </w:rPr>
              <w:drawing>
                <wp:inline distT="0" distB="0" distL="114300" distR="114300">
                  <wp:extent cx="666750" cy="219075"/>
                  <wp:effectExtent l="0" t="0" r="0" b="9525"/>
                  <wp:docPr id="2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6"/>
                          <pic:cNvPicPr>
                            <a:picLocks noChangeAspect="1"/>
                          </pic:cNvPicPr>
                        </pic:nvPicPr>
                        <pic:blipFill>
                          <a:blip r:embed="rId21"/>
                          <a:stretch>
                            <a:fillRect/>
                          </a:stretch>
                        </pic:blipFill>
                        <pic:spPr>
                          <a:xfrm>
                            <a:off x="0" y="0"/>
                            <a:ext cx="666750" cy="219075"/>
                          </a:xfrm>
                          <a:prstGeom prst="rect">
                            <a:avLst/>
                          </a:prstGeom>
                          <a:noFill/>
                          <a:ln>
                            <a:noFill/>
                          </a:ln>
                        </pic:spPr>
                      </pic:pic>
                    </a:graphicData>
                  </a:graphic>
                </wp:inline>
              </w:drawing>
            </w:r>
            <w:r>
              <w:rPr>
                <w:rFonts w:hint="eastAsia" w:ascii="Calibri" w:hAnsi="Calibri" w:eastAsia="宋体" w:cs="宋体"/>
                <w:color w:val="000000"/>
                <w:kern w:val="2"/>
                <w:sz w:val="24"/>
                <w:szCs w:val="24"/>
                <w:lang w:val="en-US" w:eastAsia="zh-CN" w:bidi="ar"/>
              </w:rPr>
              <w:t>）之间的反应，本反应活性低</w:t>
            </w:r>
          </w:p>
          <w:p w14:paraId="49D8D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ascii="Calibri" w:hAnsi="Calibri" w:cs="宋体"/>
                <w:color w:val="000000"/>
                <w:sz w:val="24"/>
                <w:szCs w:val="24"/>
                <w:lang w:val="en-US"/>
              </w:rPr>
            </w:pPr>
            <w:r>
              <w:rPr>
                <w:rFonts w:hint="default" w:ascii="Calibri" w:hAnsi="Calibri" w:eastAsia="宋体" w:cs="宋体"/>
                <w:color w:val="000000"/>
                <w:kern w:val="2"/>
                <w:sz w:val="24"/>
                <w:szCs w:val="24"/>
                <w:lang w:val="en-US" w:eastAsia="zh-CN" w:bidi="ar"/>
              </w:rPr>
              <w:drawing>
                <wp:inline distT="0" distB="0" distL="114300" distR="114300">
                  <wp:extent cx="504825" cy="238125"/>
                  <wp:effectExtent l="0" t="0" r="9525" b="9525"/>
                  <wp:docPr id="1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7"/>
                          <pic:cNvPicPr>
                            <a:picLocks noChangeAspect="1"/>
                          </pic:cNvPicPr>
                        </pic:nvPicPr>
                        <pic:blipFill>
                          <a:blip r:embed="rId5"/>
                          <a:stretch>
                            <a:fillRect/>
                          </a:stretch>
                        </pic:blipFill>
                        <pic:spPr>
                          <a:xfrm>
                            <a:off x="0" y="0"/>
                            <a:ext cx="504825" cy="238125"/>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161925" cy="133350"/>
                  <wp:effectExtent l="0" t="0" r="9525" b="0"/>
                  <wp:docPr id="1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8"/>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676275" cy="190500"/>
                  <wp:effectExtent l="0" t="0" r="9525"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9"/>
                          <pic:cNvPicPr>
                            <a:picLocks noChangeAspect="1"/>
                          </pic:cNvPicPr>
                        </pic:nvPicPr>
                        <pic:blipFill>
                          <a:blip r:embed="rId7"/>
                          <a:stretch>
                            <a:fillRect/>
                          </a:stretch>
                        </pic:blipFill>
                        <pic:spPr>
                          <a:xfrm>
                            <a:off x="0" y="0"/>
                            <a:ext cx="676275" cy="19050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400050" cy="190500"/>
                  <wp:effectExtent l="0" t="0" r="0" b="0"/>
                  <wp:docPr id="1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0"/>
                          <pic:cNvPicPr>
                            <a:picLocks noChangeAspect="1"/>
                          </pic:cNvPicPr>
                        </pic:nvPicPr>
                        <pic:blipFill>
                          <a:blip r:embed="rId8"/>
                          <a:stretch>
                            <a:fillRect/>
                          </a:stretch>
                        </pic:blipFill>
                        <pic:spPr>
                          <a:xfrm>
                            <a:off x="0" y="0"/>
                            <a:ext cx="400050" cy="19050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876300" cy="428625"/>
                  <wp:effectExtent l="0" t="0" r="0" b="9525"/>
                  <wp:docPr id="1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1"/>
                          <pic:cNvPicPr>
                            <a:picLocks noChangeAspect="1"/>
                          </pic:cNvPicPr>
                        </pic:nvPicPr>
                        <pic:blipFill>
                          <a:blip r:embed="rId9"/>
                          <a:stretch>
                            <a:fillRect/>
                          </a:stretch>
                        </pic:blipFill>
                        <pic:spPr>
                          <a:xfrm>
                            <a:off x="0" y="0"/>
                            <a:ext cx="876300" cy="428625"/>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161925" cy="133350"/>
                  <wp:effectExtent l="0" t="0" r="9525" b="0"/>
                  <wp:docPr id="5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2"/>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4"/>
                <w:szCs w:val="24"/>
                <w:lang w:val="en-US" w:eastAsia="zh-CN" w:bidi="ar"/>
              </w:rPr>
              <w:drawing>
                <wp:inline distT="0" distB="0" distL="114300" distR="114300">
                  <wp:extent cx="361950" cy="219075"/>
                  <wp:effectExtent l="0" t="0" r="0" b="9525"/>
                  <wp:docPr id="4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3"/>
                          <pic:cNvPicPr>
                            <a:picLocks noChangeAspect="1"/>
                          </pic:cNvPicPr>
                        </pic:nvPicPr>
                        <pic:blipFill>
                          <a:blip r:embed="rId10"/>
                          <a:stretch>
                            <a:fillRect/>
                          </a:stretch>
                        </pic:blipFill>
                        <pic:spPr>
                          <a:xfrm>
                            <a:off x="0" y="0"/>
                            <a:ext cx="361950" cy="219075"/>
                          </a:xfrm>
                          <a:prstGeom prst="rect">
                            <a:avLst/>
                          </a:prstGeom>
                          <a:noFill/>
                          <a:ln>
                            <a:noFill/>
                          </a:ln>
                        </pic:spPr>
                      </pic:pic>
                    </a:graphicData>
                  </a:graphic>
                </wp:inline>
              </w:drawing>
            </w:r>
          </w:p>
          <w:p w14:paraId="7282D4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1"/>
              <w:jc w:val="both"/>
              <w:textAlignment w:val="auto"/>
              <w:rPr>
                <w:rFonts w:hint="default" w:ascii="Calibri" w:hAnsi="Calibri" w:cs="宋体"/>
                <w:color w:val="000000"/>
                <w:sz w:val="24"/>
                <w:szCs w:val="24"/>
                <w:lang w:val="en-US"/>
              </w:rPr>
            </w:pPr>
            <w:r>
              <w:rPr>
                <w:rFonts w:hint="eastAsia" w:ascii="Calibri" w:hAnsi="Calibri" w:eastAsia="宋体" w:cs="宋体"/>
                <w:color w:val="000000"/>
                <w:kern w:val="2"/>
                <w:sz w:val="24"/>
                <w:szCs w:val="24"/>
                <w:lang w:val="en-US" w:eastAsia="zh-CN" w:bidi="ar"/>
              </w:rPr>
              <w:t>其二为：异氰酸酯活性基团（</w:t>
            </w:r>
            <w:r>
              <w:rPr>
                <w:rFonts w:hint="default" w:ascii="Calibri" w:hAnsi="Calibri" w:eastAsia="宋体" w:cs="宋体"/>
                <w:color w:val="000000"/>
                <w:kern w:val="2"/>
                <w:sz w:val="24"/>
                <w:szCs w:val="24"/>
                <w:lang w:val="en-US" w:eastAsia="zh-CN" w:bidi="ar"/>
              </w:rPr>
              <w:drawing>
                <wp:inline distT="0" distB="0" distL="114300" distR="114300">
                  <wp:extent cx="752475" cy="333375"/>
                  <wp:effectExtent l="0" t="0" r="9525" b="9525"/>
                  <wp:docPr id="5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4"/>
                          <pic:cNvPicPr>
                            <a:picLocks noChangeAspect="1"/>
                          </pic:cNvPicPr>
                        </pic:nvPicPr>
                        <pic:blipFill>
                          <a:blip r:embed="rId11"/>
                          <a:stretch>
                            <a:fillRect/>
                          </a:stretch>
                        </pic:blipFill>
                        <pic:spPr>
                          <a:xfrm>
                            <a:off x="0" y="0"/>
                            <a:ext cx="752475" cy="333375"/>
                          </a:xfrm>
                          <a:prstGeom prst="rect">
                            <a:avLst/>
                          </a:prstGeom>
                          <a:noFill/>
                          <a:ln>
                            <a:noFill/>
                          </a:ln>
                        </pic:spPr>
                      </pic:pic>
                    </a:graphicData>
                  </a:graphic>
                </wp:inline>
              </w:drawing>
            </w:r>
            <w:r>
              <w:rPr>
                <w:rFonts w:hint="eastAsia" w:ascii="Calibri" w:hAnsi="Calibri" w:eastAsia="宋体" w:cs="宋体"/>
                <w:color w:val="000000"/>
                <w:kern w:val="2"/>
                <w:sz w:val="24"/>
                <w:szCs w:val="24"/>
                <w:lang w:val="en-US" w:eastAsia="zh-CN" w:bidi="ar"/>
              </w:rPr>
              <w:t>）原材料中含有微量的水份（</w:t>
            </w:r>
            <w:r>
              <w:rPr>
                <w:rFonts w:hint="default" w:ascii="Calibri" w:hAnsi="Calibri" w:eastAsia="宋体" w:cs="宋体"/>
                <w:color w:val="000000"/>
                <w:kern w:val="2"/>
                <w:sz w:val="24"/>
                <w:szCs w:val="24"/>
                <w:lang w:val="en-US" w:eastAsia="zh-CN" w:bidi="ar"/>
              </w:rPr>
              <w:t>H</w:t>
            </w:r>
            <w:r>
              <w:rPr>
                <w:rFonts w:hint="default" w:ascii="Calibri" w:hAnsi="Calibri" w:eastAsia="宋体" w:cs="宋体"/>
                <w:color w:val="000000"/>
                <w:kern w:val="2"/>
                <w:sz w:val="24"/>
                <w:szCs w:val="24"/>
                <w:vertAlign w:val="subscript"/>
                <w:lang w:val="en-US" w:eastAsia="zh-CN" w:bidi="ar"/>
              </w:rPr>
              <w:t>2</w:t>
            </w:r>
            <w:r>
              <w:rPr>
                <w:rFonts w:hint="default" w:ascii="Calibri" w:hAnsi="Calibri" w:eastAsia="宋体" w:cs="宋体"/>
                <w:color w:val="000000"/>
                <w:kern w:val="2"/>
                <w:sz w:val="24"/>
                <w:szCs w:val="24"/>
                <w:lang w:val="en-US" w:eastAsia="zh-CN" w:bidi="ar"/>
              </w:rPr>
              <w:t>O</w:t>
            </w:r>
            <w:r>
              <w:rPr>
                <w:rFonts w:hint="eastAsia" w:ascii="Calibri" w:hAnsi="Calibri" w:eastAsia="宋体" w:cs="宋体"/>
                <w:color w:val="000000"/>
                <w:kern w:val="2"/>
                <w:sz w:val="24"/>
                <w:szCs w:val="24"/>
                <w:lang w:val="en-US" w:eastAsia="zh-CN" w:bidi="ar"/>
              </w:rPr>
              <w:t>）之间的反应，生成了氨基甲酸酯，当然也可以生成脲基甲酸酯，但反应活性更低了。</w:t>
            </w:r>
          </w:p>
          <w:p w14:paraId="58EC4882">
            <w:pPr>
              <w:keepNext w:val="0"/>
              <w:keepLines w:val="0"/>
              <w:widowControl w:val="0"/>
              <w:suppressLineNumbers w:val="0"/>
              <w:spacing w:before="0" w:beforeAutospacing="0" w:after="0" w:afterAutospacing="0" w:line="360" w:lineRule="auto"/>
              <w:ind w:left="0" w:right="0" w:firstLine="560"/>
              <w:jc w:val="center"/>
              <w:rPr>
                <w:rFonts w:hint="default" w:ascii="Calibri" w:hAnsi="Calibri" w:cs="宋体"/>
                <w:color w:val="000000"/>
                <w:szCs w:val="28"/>
                <w:lang w:val="en-US"/>
              </w:rPr>
            </w:pPr>
            <w:r>
              <w:rPr>
                <w:rFonts w:hint="default" w:ascii="Calibri" w:hAnsi="Calibri" w:eastAsia="宋体" w:cs="宋体"/>
                <w:color w:val="000000"/>
                <w:kern w:val="2"/>
                <w:sz w:val="28"/>
                <w:szCs w:val="28"/>
                <w:lang w:val="en-US" w:eastAsia="zh-CN" w:bidi="ar"/>
              </w:rPr>
              <w:drawing>
                <wp:inline distT="0" distB="0" distL="114300" distR="114300">
                  <wp:extent cx="504825" cy="238125"/>
                  <wp:effectExtent l="0" t="0" r="9525" b="9525"/>
                  <wp:docPr id="5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5"/>
                          <pic:cNvPicPr>
                            <a:picLocks noChangeAspect="1"/>
                          </pic:cNvPicPr>
                        </pic:nvPicPr>
                        <pic:blipFill>
                          <a:blip r:embed="rId5"/>
                          <a:stretch>
                            <a:fillRect/>
                          </a:stretch>
                        </pic:blipFill>
                        <pic:spPr>
                          <a:xfrm>
                            <a:off x="0" y="0"/>
                            <a:ext cx="504825" cy="23812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61925" cy="133350"/>
                  <wp:effectExtent l="0" t="0" r="9525" b="0"/>
                  <wp:docPr id="5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6"/>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314325" cy="238125"/>
                  <wp:effectExtent l="0" t="0" r="9525" b="9525"/>
                  <wp:docPr id="4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7"/>
                          <pic:cNvPicPr>
                            <a:picLocks noChangeAspect="1"/>
                          </pic:cNvPicPr>
                        </pic:nvPicPr>
                        <pic:blipFill>
                          <a:blip r:embed="rId12"/>
                          <a:stretch>
                            <a:fillRect/>
                          </a:stretch>
                        </pic:blipFill>
                        <pic:spPr>
                          <a:xfrm>
                            <a:off x="0" y="0"/>
                            <a:ext cx="314325" cy="23812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400050" cy="190500"/>
                  <wp:effectExtent l="0" t="0" r="0" b="0"/>
                  <wp:docPr id="4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8"/>
                          <pic:cNvPicPr>
                            <a:picLocks noChangeAspect="1"/>
                          </pic:cNvPicPr>
                        </pic:nvPicPr>
                        <pic:blipFill>
                          <a:blip r:embed="rId8"/>
                          <a:stretch>
                            <a:fillRect/>
                          </a:stretch>
                        </pic:blipFill>
                        <pic:spPr>
                          <a:xfrm>
                            <a:off x="0" y="0"/>
                            <a:ext cx="400050" cy="19050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361950" cy="219075"/>
                  <wp:effectExtent l="0" t="0" r="0" b="9525"/>
                  <wp:docPr id="50"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9"/>
                          <pic:cNvPicPr>
                            <a:picLocks noChangeAspect="1"/>
                          </pic:cNvPicPr>
                        </pic:nvPicPr>
                        <pic:blipFill>
                          <a:blip r:embed="rId10"/>
                          <a:stretch>
                            <a:fillRect/>
                          </a:stretch>
                        </pic:blipFill>
                        <pic:spPr>
                          <a:xfrm>
                            <a:off x="0" y="0"/>
                            <a:ext cx="361950" cy="21907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61925" cy="133350"/>
                  <wp:effectExtent l="0" t="0" r="9525" b="0"/>
                  <wp:docPr id="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0"/>
                          <pic:cNvPicPr>
                            <a:picLocks noChangeAspect="1"/>
                          </pic:cNvPicPr>
                        </pic:nvPicPr>
                        <pic:blipFill>
                          <a:blip r:embed="rId6"/>
                          <a:stretch>
                            <a:fillRect/>
                          </a:stretch>
                        </pic:blipFill>
                        <pic:spPr>
                          <a:xfrm>
                            <a:off x="0" y="0"/>
                            <a:ext cx="161925" cy="1333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638175" cy="228600"/>
                  <wp:effectExtent l="0" t="0" r="9525" b="0"/>
                  <wp:docPr id="4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1"/>
                          <pic:cNvPicPr>
                            <a:picLocks noChangeAspect="1"/>
                          </pic:cNvPicPr>
                        </pic:nvPicPr>
                        <pic:blipFill>
                          <a:blip r:embed="rId13"/>
                          <a:stretch>
                            <a:fillRect/>
                          </a:stretch>
                        </pic:blipFill>
                        <pic:spPr>
                          <a:xfrm>
                            <a:off x="0" y="0"/>
                            <a:ext cx="638175" cy="22860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638175" cy="247650"/>
                  <wp:effectExtent l="0" t="0" r="9525" b="0"/>
                  <wp:docPr id="4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2"/>
                          <pic:cNvPicPr>
                            <a:picLocks noChangeAspect="1"/>
                          </pic:cNvPicPr>
                        </pic:nvPicPr>
                        <pic:blipFill>
                          <a:blip r:embed="rId14"/>
                          <a:stretch>
                            <a:fillRect/>
                          </a:stretch>
                        </pic:blipFill>
                        <pic:spPr>
                          <a:xfrm>
                            <a:off x="0" y="0"/>
                            <a:ext cx="638175" cy="247650"/>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104900" cy="409575"/>
                  <wp:effectExtent l="0" t="0" r="0" b="9525"/>
                  <wp:docPr id="5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3"/>
                          <pic:cNvPicPr>
                            <a:picLocks noChangeAspect="1"/>
                          </pic:cNvPicPr>
                        </pic:nvPicPr>
                        <pic:blipFill>
                          <a:blip r:embed="rId15"/>
                          <a:stretch>
                            <a:fillRect/>
                          </a:stretch>
                        </pic:blipFill>
                        <pic:spPr>
                          <a:xfrm>
                            <a:off x="0" y="0"/>
                            <a:ext cx="1104900" cy="409575"/>
                          </a:xfrm>
                          <a:prstGeom prst="rect">
                            <a:avLst/>
                          </a:prstGeom>
                          <a:noFill/>
                          <a:ln>
                            <a:noFill/>
                          </a:ln>
                        </pic:spPr>
                      </pic:pic>
                    </a:graphicData>
                  </a:graphic>
                </wp:inline>
              </w:drawing>
            </w:r>
          </w:p>
          <w:p w14:paraId="319B9E6B">
            <w:pPr>
              <w:keepNext w:val="0"/>
              <w:keepLines w:val="0"/>
              <w:widowControl w:val="0"/>
              <w:suppressLineNumbers w:val="0"/>
              <w:spacing w:before="0" w:beforeAutospacing="0" w:after="0" w:afterAutospacing="0" w:line="360" w:lineRule="auto"/>
              <w:ind w:left="0" w:right="0" w:firstLine="560"/>
              <w:jc w:val="center"/>
              <w:rPr>
                <w:rFonts w:hint="default"/>
                <w:color w:val="000000"/>
                <w:szCs w:val="28"/>
                <w:lang w:val="en-US"/>
              </w:rPr>
            </w:pPr>
            <w:r>
              <w:rPr>
                <w:rFonts w:hint="default" w:ascii="Calibri" w:hAnsi="Calibri" w:eastAsia="宋体" w:cs="宋体"/>
                <w:color w:val="000000"/>
                <w:kern w:val="2"/>
                <w:sz w:val="28"/>
                <w:szCs w:val="28"/>
                <w:lang w:val="en-US" w:eastAsia="zh-CN" w:bidi="ar"/>
              </w:rPr>
              <w:drawing>
                <wp:inline distT="0" distB="0" distL="114300" distR="114300">
                  <wp:extent cx="619125" cy="257175"/>
                  <wp:effectExtent l="0" t="0" r="9525" b="9525"/>
                  <wp:docPr id="5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pic:cNvPicPr>
                            <a:picLocks noChangeAspect="1"/>
                          </pic:cNvPicPr>
                        </pic:nvPicPr>
                        <pic:blipFill>
                          <a:blip r:embed="rId16"/>
                          <a:stretch>
                            <a:fillRect/>
                          </a:stretch>
                        </pic:blipFill>
                        <pic:spPr>
                          <a:xfrm>
                            <a:off x="0" y="0"/>
                            <a:ext cx="619125" cy="257175"/>
                          </a:xfrm>
                          <a:prstGeom prst="rect">
                            <a:avLst/>
                          </a:prstGeom>
                          <a:noFill/>
                          <a:ln>
                            <a:noFill/>
                          </a:ln>
                        </pic:spPr>
                      </pic:pic>
                    </a:graphicData>
                  </a:graphic>
                </wp:inline>
              </w:drawing>
            </w:r>
            <w:r>
              <w:rPr>
                <w:rFonts w:hint="default" w:ascii="Calibri" w:hAnsi="Calibri" w:eastAsia="宋体" w:cs="宋体"/>
                <w:color w:val="000000"/>
                <w:kern w:val="2"/>
                <w:sz w:val="28"/>
                <w:szCs w:val="28"/>
                <w:lang w:val="en-US" w:eastAsia="zh-CN" w:bidi="ar"/>
              </w:rPr>
              <w:drawing>
                <wp:inline distT="0" distB="0" distL="114300" distR="114300">
                  <wp:extent cx="1104900" cy="1190625"/>
                  <wp:effectExtent l="0" t="0" r="0" b="9525"/>
                  <wp:docPr id="5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5"/>
                          <pic:cNvPicPr>
                            <a:picLocks noChangeAspect="1"/>
                          </pic:cNvPicPr>
                        </pic:nvPicPr>
                        <pic:blipFill>
                          <a:blip r:embed="rId17"/>
                          <a:stretch>
                            <a:fillRect/>
                          </a:stretch>
                        </pic:blipFill>
                        <pic:spPr>
                          <a:xfrm>
                            <a:off x="0" y="0"/>
                            <a:ext cx="1104900" cy="1190625"/>
                          </a:xfrm>
                          <a:prstGeom prst="rect">
                            <a:avLst/>
                          </a:prstGeom>
                          <a:noFill/>
                          <a:ln>
                            <a:noFill/>
                          </a:ln>
                        </pic:spPr>
                      </pic:pic>
                    </a:graphicData>
                  </a:graphic>
                </wp:inline>
              </w:drawing>
            </w:r>
          </w:p>
          <w:p w14:paraId="15B754D3">
            <w:pPr>
              <w:pStyle w:val="22"/>
              <w:widowControl/>
              <w:spacing w:before="0" w:beforeAutospacing="0" w:after="120" w:afterAutospacing="0"/>
              <w:ind w:left="0" w:leftChars="0" w:right="0" w:firstLine="0" w:firstLineChars="0"/>
              <w:jc w:val="center"/>
              <w:rPr>
                <w:color w:val="000000"/>
                <w:lang w:eastAsia="zh-CN"/>
              </w:rPr>
            </w:pPr>
            <w:r>
              <w:rPr>
                <w:color w:val="000000"/>
                <w:lang w:eastAsia="zh-CN" w:bidi="ar"/>
              </w:rPr>
              <w:drawing>
                <wp:inline distT="0" distB="0" distL="114300" distR="114300">
                  <wp:extent cx="5534025" cy="4829175"/>
                  <wp:effectExtent l="0" t="0" r="9525" b="9525"/>
                  <wp:docPr id="8"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256"/>
                          <pic:cNvPicPr>
                            <a:picLocks noChangeAspect="1"/>
                          </pic:cNvPicPr>
                        </pic:nvPicPr>
                        <pic:blipFill>
                          <a:blip r:embed="rId22"/>
                          <a:stretch>
                            <a:fillRect/>
                          </a:stretch>
                        </pic:blipFill>
                        <pic:spPr>
                          <a:xfrm>
                            <a:off x="0" y="0"/>
                            <a:ext cx="5534025" cy="4829175"/>
                          </a:xfrm>
                          <a:prstGeom prst="rect">
                            <a:avLst/>
                          </a:prstGeom>
                          <a:noFill/>
                          <a:ln>
                            <a:noFill/>
                          </a:ln>
                        </pic:spPr>
                      </pic:pic>
                    </a:graphicData>
                  </a:graphic>
                </wp:inline>
              </w:drawing>
            </w:r>
          </w:p>
          <w:p w14:paraId="01A73836">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en-US"/>
              </w:rPr>
            </w:pPr>
            <w:r>
              <w:rPr>
                <w:rFonts w:hint="eastAsia" w:ascii="黑体" w:hAnsi="宋体" w:eastAsia="黑体" w:cs="黑体"/>
                <w:b/>
                <w:bCs/>
                <w:color w:val="000000"/>
                <w:kern w:val="2"/>
                <w:sz w:val="24"/>
                <w:szCs w:val="24"/>
                <w:lang w:val="en-US" w:eastAsia="zh-CN" w:bidi="ar"/>
              </w:rPr>
              <w:t>图2-1  纳米硅氧烷改性油墨合成树脂生产工艺流程方框图</w:t>
            </w:r>
          </w:p>
          <w:p w14:paraId="0589F672">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val="0"/>
                <w:color w:val="000000"/>
                <w:sz w:val="24"/>
                <w:szCs w:val="22"/>
                <w:lang w:val="en-US"/>
              </w:rPr>
            </w:pPr>
            <w:r>
              <w:rPr>
                <w:rFonts w:hint="eastAsia" w:ascii="黑体" w:hAnsi="宋体" w:eastAsia="黑体" w:cs="黑体"/>
                <w:b/>
                <w:bCs w:val="0"/>
                <w:color w:val="000000"/>
                <w:kern w:val="2"/>
                <w:sz w:val="24"/>
                <w:szCs w:val="22"/>
                <w:lang w:val="en-US" w:eastAsia="zh-CN" w:bidi="ar"/>
              </w:rPr>
              <w:t>表2-1  纳米硅氧烷改性油墨树脂总物料平衡表（单位：kg/批）</w:t>
            </w:r>
          </w:p>
          <w:tbl>
            <w:tblPr>
              <w:tblStyle w:val="2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7"/>
              <w:gridCol w:w="2148"/>
              <w:gridCol w:w="1814"/>
              <w:gridCol w:w="755"/>
              <w:gridCol w:w="2261"/>
              <w:gridCol w:w="1190"/>
            </w:tblGrid>
            <w:tr w14:paraId="3864523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6C4057F">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C0BC6C">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46329F">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24FD5A3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3858A9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C34B10B">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A21106E">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0560DBE">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610EF53">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1C6EF2A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9E7E135">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1CE189E">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聚酯多元醇</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8C805BF">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1440</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C385E8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纳米硅氧烷改性油墨树脂</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656A7B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8000</w:t>
                  </w:r>
                </w:p>
              </w:tc>
            </w:tr>
            <w:tr w14:paraId="44736EF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247AA3E">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2</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BC7DDF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甲苯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43A448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1943</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6C1AD0D">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废气</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9DA9F7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G10-1TVOC（甲苯、其他）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743C97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0.31（0.3、0.01）</w:t>
                  </w:r>
                </w:p>
              </w:tc>
            </w:tr>
            <w:tr w14:paraId="7A78DDE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1C98653">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2E78087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有机铋</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320CEB4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407D4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5942278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G10-2TVOC（六亚甲基二异氰酸酯）</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EBDE40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0.03（0.03）</w:t>
                  </w:r>
                </w:p>
              </w:tc>
            </w:tr>
            <w:tr w14:paraId="4B1D5C8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81C8861">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CD8810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三甲羟基丙烷</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884F22E">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2.55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943A37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D1F55D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G10-3TVOC（六亚甲基二异氰酸酯、甲苯、其他）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45E771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0.53（0.02、0.5、0.01）</w:t>
                  </w:r>
                </w:p>
              </w:tc>
            </w:tr>
            <w:tr w14:paraId="720628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A02B0E4">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5</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D9032F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丁二醇</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9C3764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2.2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918A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7E947A6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G10-4TVOC（甲苯、乙二醇、其他）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467AB3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0.52（0.5、0.01、0.01）</w:t>
                  </w:r>
                </w:p>
              </w:tc>
            </w:tr>
            <w:tr w14:paraId="50B6FDF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A5F824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6</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95F1DD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六亚甲基二异氰酸酯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33FC90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103</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0C4C9D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9A33083">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G10-5TVOC（甲苯、乙二醇、丙酮、丁酮、其他）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7DE8C5B">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1.44（0.4、0.01、0.3、0.2、0.53）</w:t>
                  </w:r>
                </w:p>
              </w:tc>
            </w:tr>
            <w:tr w14:paraId="62FC5C2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501E73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7</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1FFE187">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乙二醇</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B5CFEE8">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2.2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9EE4D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61BCF1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G10-6TVOC（甲苯、乙二醇、丙酮、丁酮、其他）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29E4CF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1.96（0.55、0.01、0.5、0.4、0.5）</w:t>
                  </w:r>
                </w:p>
              </w:tc>
            </w:tr>
            <w:tr w14:paraId="16292B0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E0A9CA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8</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B10F32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丁酮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08C168A">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1144</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49DFE7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51C26D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G10-7TVOC（甲苯、乙二醇、丙酮、丁酮、其他）</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AD81EEA">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1.36（0.4、0.01、0.3、0.2、0.45）</w:t>
                  </w:r>
                </w:p>
              </w:tc>
            </w:tr>
            <w:tr w14:paraId="229FD23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67E64E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9</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E8EC5E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乙酸甲酯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B416CFE">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1162</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D3CC1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B6BD9F7">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737995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r>
            <w:tr w14:paraId="015D2F4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9434C2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10</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E05052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丙酮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E92AC1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1831</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D08AE2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2646D2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5F67EA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r>
            <w:tr w14:paraId="641CB7D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DA9EE6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1E1BB8F">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碳酸二甲酯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3CA84B0C">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343</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14:paraId="23824329">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E08D914">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5337A9B">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r>
            <w:tr w14:paraId="0FB530A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C34C591">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12</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77B3FB4">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KH-560</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5B7DA9A">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8</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14:paraId="4809CB93">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D24ED17">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483EE8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r>
            <w:tr w14:paraId="1776D34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D2E4A3E">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13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DC9C767">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QS-102</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1A2A01D">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24</w:t>
                  </w:r>
                </w:p>
              </w:tc>
              <w:tc>
                <w:tcPr>
                  <w:tcW w:w="423" w:type="pct"/>
                  <w:tcBorders>
                    <w:top w:val="single" w:color="auto" w:sz="4" w:space="0"/>
                    <w:left w:val="single" w:color="auto" w:sz="4" w:space="0"/>
                    <w:bottom w:val="single" w:color="auto" w:sz="4" w:space="0"/>
                    <w:right w:val="single" w:color="auto" w:sz="4" w:space="0"/>
                  </w:tcBorders>
                  <w:shd w:val="clear" w:color="auto" w:fill="auto"/>
                  <w:vAlign w:val="center"/>
                </w:tcPr>
                <w:p w14:paraId="275521CD">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E702EF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2C241BA">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p>
              </w:tc>
            </w:tr>
            <w:tr w14:paraId="59E9C63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00B55F6">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21253C9D">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0697C90">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8006.15</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056755D">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2D18442">
                  <w:pPr>
                    <w:keepNext w:val="0"/>
                    <w:keepLines w:val="0"/>
                    <w:widowControl/>
                    <w:suppressLineNumbers w:val="0"/>
                    <w:spacing w:before="0" w:beforeAutospacing="0" w:after="0" w:afterAutospacing="0" w:line="360" w:lineRule="auto"/>
                    <w:ind w:left="0" w:right="0"/>
                    <w:jc w:val="center"/>
                    <w:textAlignment w:val="center"/>
                    <w:rPr>
                      <w:rFonts w:hint="default"/>
                      <w:color w:val="000000"/>
                      <w:kern w:val="0"/>
                      <w:sz w:val="21"/>
                      <w:szCs w:val="21"/>
                      <w:lang w:val="en-US" w:bidi="ar"/>
                    </w:rPr>
                  </w:pPr>
                  <w:r>
                    <w:rPr>
                      <w:rFonts w:hint="eastAsia" w:ascii="宋体" w:hAnsi="宋体" w:eastAsia="宋体" w:cs="宋体"/>
                      <w:color w:val="000000"/>
                      <w:kern w:val="0"/>
                      <w:sz w:val="21"/>
                      <w:szCs w:val="21"/>
                      <w:lang w:val="en-US" w:eastAsia="zh-CN" w:bidi="ar"/>
                    </w:rPr>
                    <w:t>8006.15</w:t>
                  </w:r>
                </w:p>
              </w:tc>
            </w:tr>
          </w:tbl>
          <w:p w14:paraId="3631B44B">
            <w:pPr>
              <w:pStyle w:val="16"/>
              <w:keepNext w:val="0"/>
              <w:keepLines w:val="0"/>
              <w:widowControl w:val="0"/>
              <w:suppressLineNumbers w:val="0"/>
              <w:spacing w:before="0" w:beforeAutospacing="0" w:after="0" w:afterAutospacing="0" w:line="240" w:lineRule="exact"/>
              <w:ind w:left="0" w:right="0"/>
              <w:jc w:val="both"/>
              <w:rPr>
                <w:rFonts w:hint="default"/>
                <w:color w:val="000000"/>
                <w:lang w:val="en-US"/>
              </w:rPr>
            </w:pPr>
          </w:p>
          <w:p w14:paraId="7388E780">
            <w:pPr>
              <w:pStyle w:val="5"/>
              <w:widowControl/>
              <w:suppressLineNumbers w:val="0"/>
              <w:spacing w:before="0" w:beforeAutospacing="0" w:after="0" w:afterAutospacing="0"/>
              <w:ind w:left="0" w:right="0"/>
              <w:rPr>
                <w:rFonts w:hint="eastAsia" w:ascii="宋体" w:hAnsi="宋体" w:eastAsia="宋体" w:cs="宋体"/>
                <w:color w:val="000000"/>
                <w:sz w:val="24"/>
                <w:szCs w:val="32"/>
                <w:lang w:eastAsia="zh-CN"/>
              </w:rPr>
            </w:pPr>
            <w:r>
              <w:rPr>
                <w:rFonts w:hint="eastAsia" w:ascii="宋体" w:hAnsi="宋体" w:eastAsia="宋体" w:cs="宋体"/>
                <w:color w:val="000000"/>
                <w:sz w:val="24"/>
                <w:szCs w:val="32"/>
                <w:lang w:val="en-US" w:eastAsia="zh-CN"/>
              </w:rPr>
              <w:t>3.</w:t>
            </w:r>
            <w:r>
              <w:rPr>
                <w:rFonts w:hint="eastAsia" w:ascii="宋体" w:hAnsi="宋体" w:eastAsia="宋体" w:cs="宋体"/>
                <w:color w:val="000000"/>
                <w:sz w:val="24"/>
                <w:szCs w:val="32"/>
                <w:lang w:eastAsia="zh-CN"/>
              </w:rPr>
              <w:t>RTO 功能配套的处理生产工艺</w:t>
            </w:r>
          </w:p>
          <w:p w14:paraId="26EB293A">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1）橡胶表面处理剂生产工艺流程</w:t>
            </w:r>
          </w:p>
          <w:p w14:paraId="54B16E1E">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橡胶表面处理剂生产过程为纯物理过程，不存在化学反应，整个生产过程为常温常压下进行，具体工艺介绍如下：在搪瓷兑稀釜中加入丁酮、乙酸乙酯、醋酸丁酯、二价酸酯、N-甲基吡咯烷酮（储罐物料（丁酮、醋酸乙酯、醋酸丁酯）直接通过计量用泵抽到分散釜，其他物料由叉车运输到车间进行投料，液态物料采取泵输送，投料过程有集气罩，防止有机废气的逸散），开动搅拌然后慢慢加入磷酸，搅拌30分钟即可包装，出货时配套1%三氯异氰尿酸、二氯异氰尿酸钠作为B组份单独配套包装，客户使用时加入混合即可。</w:t>
            </w:r>
          </w:p>
          <w:p w14:paraId="782FE237">
            <w:pPr>
              <w:keepNext w:val="0"/>
              <w:keepLines w:val="0"/>
              <w:widowControl w:val="0"/>
              <w:suppressLineNumbers w:val="0"/>
              <w:spacing w:before="91" w:beforeAutospacing="0" w:after="0" w:afterAutospacing="0" w:line="357" w:lineRule="auto"/>
              <w:ind w:left="0" w:right="0"/>
              <w:jc w:val="center"/>
              <w:rPr>
                <w:rFonts w:hint="default" w:eastAsia="宋体"/>
                <w:color w:val="000000"/>
                <w:spacing w:val="-3"/>
                <w:szCs w:val="28"/>
                <w:lang w:val="en-US"/>
              </w:rPr>
            </w:pPr>
            <w:r>
              <w:rPr>
                <w:rFonts w:hint="eastAsia" w:ascii="宋体" w:hAnsi="宋体" w:eastAsia="宋体" w:cs="宋体"/>
                <w:color w:val="000000"/>
                <w:kern w:val="0"/>
                <w:sz w:val="24"/>
                <w:szCs w:val="24"/>
                <w:lang w:val="en-US" w:eastAsia="zh-CN" w:bidi="ar"/>
              </w:rPr>
              <w:drawing>
                <wp:inline distT="0" distB="0" distL="114300" distR="114300">
                  <wp:extent cx="5600700" cy="2362200"/>
                  <wp:effectExtent l="0" t="0" r="0" b="0"/>
                  <wp:docPr id="9"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IMG_256"/>
                          <pic:cNvPicPr>
                            <a:picLocks noChangeAspect="1"/>
                          </pic:cNvPicPr>
                        </pic:nvPicPr>
                        <pic:blipFill>
                          <a:blip r:embed="rId23"/>
                          <a:stretch>
                            <a:fillRect/>
                          </a:stretch>
                        </pic:blipFill>
                        <pic:spPr>
                          <a:xfrm>
                            <a:off x="0" y="0"/>
                            <a:ext cx="5600700" cy="2362200"/>
                          </a:xfrm>
                          <a:prstGeom prst="rect">
                            <a:avLst/>
                          </a:prstGeom>
                          <a:noFill/>
                          <a:ln>
                            <a:noFill/>
                          </a:ln>
                        </pic:spPr>
                      </pic:pic>
                    </a:graphicData>
                  </a:graphic>
                </wp:inline>
              </w:drawing>
            </w:r>
          </w:p>
          <w:p w14:paraId="34992678">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en-US"/>
              </w:rPr>
            </w:pPr>
            <w:r>
              <w:rPr>
                <w:rFonts w:hint="eastAsia" w:ascii="黑体" w:hAnsi="宋体" w:eastAsia="黑体" w:cs="黑体"/>
                <w:b/>
                <w:bCs/>
                <w:color w:val="000000"/>
                <w:kern w:val="2"/>
                <w:sz w:val="24"/>
                <w:szCs w:val="24"/>
                <w:lang w:val="en-US" w:eastAsia="zh-CN" w:bidi="ar"/>
              </w:rPr>
              <w:t>图3-1  功能配套的橡胶表面处理剂生产工艺流程方框图</w:t>
            </w:r>
          </w:p>
          <w:p w14:paraId="5FB91D24">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color w:val="000000"/>
                <w:sz w:val="24"/>
                <w:szCs w:val="22"/>
                <w:lang w:val="en-US"/>
              </w:rPr>
            </w:pPr>
            <w:r>
              <w:rPr>
                <w:rFonts w:hint="eastAsia" w:ascii="黑体" w:hAnsi="宋体" w:eastAsia="黑体" w:cs="黑体"/>
                <w:b/>
                <w:bCs w:val="0"/>
                <w:color w:val="000000"/>
                <w:kern w:val="2"/>
                <w:sz w:val="24"/>
                <w:szCs w:val="22"/>
                <w:lang w:val="en-US" w:eastAsia="zh-CN" w:bidi="ar"/>
              </w:rPr>
              <w:t>表3-1</w:t>
            </w:r>
            <w:r>
              <w:rPr>
                <w:rFonts w:hint="eastAsia" w:ascii="黑体" w:hAnsi="宋体" w:eastAsia="黑体" w:cs="黑体"/>
                <w:b/>
                <w:bCs/>
                <w:color w:val="000000"/>
                <w:kern w:val="2"/>
                <w:sz w:val="24"/>
                <w:szCs w:val="22"/>
                <w:lang w:val="en-US" w:eastAsia="zh-CN" w:bidi="ar"/>
              </w:rPr>
              <w:t xml:space="preserve">  橡胶表面处理剂总物料平衡表（单位：kg/批）</w:t>
            </w:r>
          </w:p>
          <w:tbl>
            <w:tblPr>
              <w:tblStyle w:val="2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6"/>
              <w:gridCol w:w="2149"/>
              <w:gridCol w:w="1814"/>
              <w:gridCol w:w="755"/>
              <w:gridCol w:w="2262"/>
              <w:gridCol w:w="1189"/>
            </w:tblGrid>
            <w:tr w14:paraId="618D004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3EB2CCD">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E11D376">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300250E8">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46E1D9A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739566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3FF40FB4">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F18F731">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95E7E">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EC83384">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1C5AE48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B400ED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38083E7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丁酮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8183F3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1790</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FFE36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橡胶表面处理剂</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9DAE3E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5000</w:t>
                  </w:r>
                </w:p>
              </w:tc>
            </w:tr>
            <w:tr w14:paraId="581AE75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C6C1EE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6C76B9A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醋酸乙酯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91D8D1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2130</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4FFE7E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废气</w:t>
                  </w: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00E17285">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G5-1TVOC</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58D202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0.5</w:t>
                  </w:r>
                </w:p>
              </w:tc>
            </w:tr>
            <w:tr w14:paraId="764C1AC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21616F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6627F97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二价酸酯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1F021A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345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34455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2CEB650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G5-2TVOC（丁酮、其他物质）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F20E16D">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3（1.2、1.8）</w:t>
                  </w:r>
                </w:p>
              </w:tc>
            </w:tr>
            <w:tr w14:paraId="671BCEC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F0BDAE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4</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6D8FC90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醋酸丁酯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4EBA5D7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345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C3308D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22604B9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G5-3TVOC（丁酮、其他物质）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6BCE03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1.5（0.6、0.9）</w:t>
                  </w:r>
                </w:p>
              </w:tc>
            </w:tr>
            <w:tr w14:paraId="351B21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CE1883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65927BD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N-甲基吡咯烷酮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41244D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345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7A828B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4FBB9DE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G5-4颗粒物</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E9EEC3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0.05</w:t>
                  </w:r>
                </w:p>
              </w:tc>
            </w:tr>
            <w:tr w14:paraId="11A83C1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24BF77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6</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165D7A8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三氯异氰尿酸</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A0E7EF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30.03</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E050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351992F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7DC1DA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25F0486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B565C6D">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7</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44DE5C3E">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二氯异氰尿酸钠</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8CC7BE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20.02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8E140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7" w:type="pct"/>
                  <w:tcBorders>
                    <w:top w:val="single" w:color="auto" w:sz="4" w:space="0"/>
                    <w:left w:val="single" w:color="auto" w:sz="4" w:space="0"/>
                    <w:bottom w:val="single" w:color="auto" w:sz="4" w:space="0"/>
                    <w:right w:val="single" w:color="auto" w:sz="4" w:space="0"/>
                  </w:tcBorders>
                  <w:shd w:val="clear" w:color="auto" w:fill="auto"/>
                  <w:vAlign w:val="center"/>
                </w:tcPr>
                <w:p w14:paraId="4874203D">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B28DE5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7A1D865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5FC3F2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合计</w:t>
                  </w:r>
                </w:p>
              </w:tc>
              <w:tc>
                <w:tcPr>
                  <w:tcW w:w="1204" w:type="pct"/>
                  <w:tcBorders>
                    <w:top w:val="single" w:color="auto" w:sz="4" w:space="0"/>
                    <w:left w:val="single" w:color="auto" w:sz="4" w:space="0"/>
                    <w:bottom w:val="single" w:color="auto" w:sz="4" w:space="0"/>
                    <w:right w:val="single" w:color="auto" w:sz="4" w:space="0"/>
                  </w:tcBorders>
                  <w:shd w:val="clear" w:color="auto" w:fill="auto"/>
                  <w:vAlign w:val="center"/>
                </w:tcPr>
                <w:p w14:paraId="7F1790B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70502E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5005.05</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E4C29C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272AFFD">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5005.05</w:t>
                  </w:r>
                </w:p>
              </w:tc>
            </w:tr>
          </w:tbl>
          <w:p w14:paraId="1BC54BA2">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2）PU/PVC材料处理剂</w:t>
            </w:r>
          </w:p>
          <w:p w14:paraId="3B2698F9">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PU/PVC材料处理剂生产过程为纯物理过程，不存在化学反应，整个生产过程为常温常压下进行，具体工艺介绍如下：搪瓷兑稀釜中加入溶剂（二甲基甲酰胺、环己酮、四氢呋喃、N-乙基吡咯烷酮、乙酸乙酯、丙酮、丙二醇甲醚醋酸酯），在搅拌的状况下慢慢加入热熔胶颗粒、氯醋树脂，大约搅拌2-4小时后，检查完全溶解了就加入2-羟基丁二酸，搅拌20分钟即可检验包装（储罐物料（醋酸乙酯、丙酮）直接通过计量用泵抽到分散釜，其他物料由叉车运输到车间进行投料，液态物料采取泵输送，投料过程有集气罩，防止有机废气的逸散）。</w:t>
            </w:r>
          </w:p>
          <w:p w14:paraId="72D70574">
            <w:pPr>
              <w:keepNext w:val="0"/>
              <w:keepLines w:val="0"/>
              <w:widowControl w:val="0"/>
              <w:suppressLineNumbers w:val="0"/>
              <w:spacing w:before="91" w:beforeAutospacing="0" w:after="0" w:afterAutospacing="0" w:line="357" w:lineRule="auto"/>
              <w:ind w:left="0" w:right="0"/>
              <w:jc w:val="center"/>
              <w:rPr>
                <w:rFonts w:hint="default" w:eastAsia="宋体"/>
                <w:color w:val="000000"/>
                <w:spacing w:val="-3"/>
                <w:szCs w:val="28"/>
                <w:lang w:val="en-US"/>
              </w:rPr>
            </w:pPr>
            <w:r>
              <w:rPr>
                <w:rFonts w:hint="eastAsia" w:ascii="宋体" w:hAnsi="宋体" w:eastAsia="宋体" w:cs="宋体"/>
                <w:color w:val="000000"/>
                <w:kern w:val="0"/>
                <w:sz w:val="24"/>
                <w:szCs w:val="24"/>
                <w:lang w:val="en-US" w:eastAsia="zh-CN" w:bidi="ar"/>
              </w:rPr>
              <w:drawing>
                <wp:inline distT="0" distB="0" distL="114300" distR="114300">
                  <wp:extent cx="5600700" cy="244792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24"/>
                          <a:stretch>
                            <a:fillRect/>
                          </a:stretch>
                        </pic:blipFill>
                        <pic:spPr>
                          <a:xfrm>
                            <a:off x="0" y="0"/>
                            <a:ext cx="5600700" cy="2447925"/>
                          </a:xfrm>
                          <a:prstGeom prst="rect">
                            <a:avLst/>
                          </a:prstGeom>
                          <a:noFill/>
                          <a:ln>
                            <a:noFill/>
                          </a:ln>
                        </pic:spPr>
                      </pic:pic>
                    </a:graphicData>
                  </a:graphic>
                </wp:inline>
              </w:drawing>
            </w:r>
          </w:p>
          <w:p w14:paraId="5898CD0D">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en-US"/>
              </w:rPr>
            </w:pPr>
            <w:r>
              <w:rPr>
                <w:rFonts w:hint="eastAsia" w:ascii="黑体" w:hAnsi="宋体" w:eastAsia="黑体" w:cs="黑体"/>
                <w:b/>
                <w:bCs/>
                <w:color w:val="000000"/>
                <w:kern w:val="2"/>
                <w:sz w:val="24"/>
                <w:szCs w:val="24"/>
                <w:lang w:val="en-US" w:eastAsia="zh-CN" w:bidi="ar"/>
              </w:rPr>
              <w:t>图3-2  功能配套的PU/PVC处理剂生产工艺流程方框图</w:t>
            </w:r>
          </w:p>
          <w:p w14:paraId="570C3D90">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color w:val="000000"/>
                <w:sz w:val="24"/>
                <w:szCs w:val="22"/>
                <w:lang w:val="en-US"/>
              </w:rPr>
            </w:pPr>
            <w:r>
              <w:rPr>
                <w:rFonts w:hint="eastAsia" w:ascii="黑体" w:hAnsi="宋体" w:eastAsia="黑体" w:cs="黑体"/>
                <w:b/>
                <w:bCs w:val="0"/>
                <w:color w:val="000000"/>
                <w:kern w:val="2"/>
                <w:sz w:val="24"/>
                <w:szCs w:val="22"/>
                <w:lang w:val="en-US" w:eastAsia="zh-CN" w:bidi="ar"/>
              </w:rPr>
              <w:t xml:space="preserve">表3-2 </w:t>
            </w:r>
            <w:r>
              <w:rPr>
                <w:rFonts w:hint="eastAsia" w:ascii="黑体" w:hAnsi="宋体" w:eastAsia="黑体" w:cs="黑体"/>
                <w:b/>
                <w:bCs/>
                <w:color w:val="000000"/>
                <w:kern w:val="2"/>
                <w:sz w:val="24"/>
                <w:szCs w:val="22"/>
                <w:lang w:val="en-US" w:eastAsia="zh-CN" w:bidi="ar"/>
              </w:rPr>
              <w:t xml:space="preserve">  PU/PVC材料处理剂总物料平衡表（单位：t/a）</w:t>
            </w:r>
          </w:p>
          <w:tbl>
            <w:tblPr>
              <w:tblStyle w:val="2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7"/>
              <w:gridCol w:w="2148"/>
              <w:gridCol w:w="1814"/>
              <w:gridCol w:w="755"/>
              <w:gridCol w:w="1130"/>
              <w:gridCol w:w="1131"/>
              <w:gridCol w:w="1190"/>
            </w:tblGrid>
            <w:tr w14:paraId="441034E3">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4E10663">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039EA17">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2B9FBF9">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4278175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70648E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C235839">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01EA7F9">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20747742">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F7CDB9E">
                  <w:pPr>
                    <w:keepNext w:val="0"/>
                    <w:keepLines w:val="0"/>
                    <w:widowControl w:val="0"/>
                    <w:suppressLineNumbers w:val="0"/>
                    <w:spacing w:before="0" w:beforeAutospacing="0" w:after="0" w:afterAutospacing="0" w:line="360" w:lineRule="auto"/>
                    <w:ind w:left="0" w:right="0"/>
                    <w:jc w:val="center"/>
                    <w:rPr>
                      <w:rFonts w:hint="default" w:ascii="宋体" w:hAnsi="宋体" w:eastAsia="宋体"/>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12469B3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DA8DC0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7D89F0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二甲基甲酰胺</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7409ECB">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300</w:t>
                  </w:r>
                </w:p>
              </w:tc>
              <w:tc>
                <w:tcPr>
                  <w:tcW w:w="168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036E320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PU/PVC材料处理剂</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3FCFC9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1000</w:t>
                  </w:r>
                </w:p>
              </w:tc>
            </w:tr>
            <w:tr w14:paraId="4C9B69D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8C4D57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2</w:t>
                  </w:r>
                </w:p>
              </w:tc>
              <w:tc>
                <w:tcPr>
                  <w:tcW w:w="12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C36CD4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环己酮</w:t>
                  </w:r>
                </w:p>
              </w:tc>
              <w:tc>
                <w:tcPr>
                  <w:tcW w:w="10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D92B06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55</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67F6AD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废气</w:t>
                  </w:r>
                </w:p>
              </w:tc>
              <w:tc>
                <w:tcPr>
                  <w:tcW w:w="6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E573BC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G6-1</w:t>
                  </w:r>
                </w:p>
              </w:tc>
              <w:tc>
                <w:tcPr>
                  <w:tcW w:w="633" w:type="pct"/>
                  <w:tcBorders>
                    <w:top w:val="single" w:color="auto" w:sz="4" w:space="0"/>
                    <w:left w:val="single" w:color="auto" w:sz="4" w:space="0"/>
                    <w:bottom w:val="single" w:color="auto" w:sz="4" w:space="0"/>
                    <w:right w:val="single" w:color="auto" w:sz="4" w:space="0"/>
                  </w:tcBorders>
                  <w:shd w:val="clear" w:color="auto" w:fill="auto"/>
                  <w:vAlign w:val="center"/>
                </w:tcPr>
                <w:p w14:paraId="7A928B9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TVOC（四氢呋喃、其他物质）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010550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0.08（0.01、0.07）</w:t>
                  </w:r>
                </w:p>
              </w:tc>
            </w:tr>
            <w:tr w14:paraId="3AE0930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64E87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1C59A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D7145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203DB1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E33D5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33" w:type="pct"/>
                  <w:tcBorders>
                    <w:top w:val="single" w:color="auto" w:sz="4" w:space="0"/>
                    <w:left w:val="single" w:color="auto" w:sz="4" w:space="0"/>
                    <w:bottom w:val="single" w:color="auto" w:sz="4" w:space="0"/>
                    <w:right w:val="single" w:color="auto" w:sz="4" w:space="0"/>
                  </w:tcBorders>
                  <w:shd w:val="clear" w:color="auto" w:fill="auto"/>
                  <w:vAlign w:val="center"/>
                </w:tcPr>
                <w:p w14:paraId="52C3225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颗粒物</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86B4D5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0.02</w:t>
                  </w:r>
                </w:p>
              </w:tc>
            </w:tr>
            <w:tr w14:paraId="32994418">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6963FC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A19403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四氢呋喃</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7B8C71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13B7F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6DFE77A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G6-2TVOC（四氢呋喃、二甲基甲酰胺、丙酮、其他物质）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4F1BCA8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0.6（0.008、0.2、0.16、0.232）</w:t>
                  </w:r>
                </w:p>
              </w:tc>
            </w:tr>
            <w:tr w14:paraId="11A2B86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15ECD6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C0BDFB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N-乙基吡咯烷酮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EB6378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1313A2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E5E9357">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G6-3TVOC（四氢呋喃、二甲基甲酰胺、丙酮、其他物质）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67C548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0.3（0.004、0.1、0.08、0.116）</w:t>
                  </w:r>
                </w:p>
              </w:tc>
            </w:tr>
            <w:tr w14:paraId="15ACF46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19CD58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5</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F086D95">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醋酸乙酯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4AF97A6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300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CB8D1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C961B1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AAC867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0385770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9A2436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6</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74CE46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丙酮</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71CFD74">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251</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090873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14D9BA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B49666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3FA060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594A12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7</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EB72D0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丙二醇甲醚醋酸酯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442366E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50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20A806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09D499A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6E574C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3A83277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294C37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8</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27888BF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热熔胶颗粒</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30860D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22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D15B5A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D60160A">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DF08F8F">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218DC74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488C13A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9</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1E1141D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氯醋树脂</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A117492">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2</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38AC1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C98CBCE">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B8F175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6E1821CE">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A913CF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BF0D31C">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2-羟基丁二酸</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8689A63">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74BB1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752A539">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1128B2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p>
              </w:tc>
            </w:tr>
            <w:tr w14:paraId="40F793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95B643D">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40B6C3C0">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428C4218">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1001</w:t>
                  </w:r>
                </w:p>
              </w:tc>
              <w:tc>
                <w:tcPr>
                  <w:tcW w:w="1689"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3B3746">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C24DB51">
                  <w:pPr>
                    <w:keepNext w:val="0"/>
                    <w:keepLines w:val="0"/>
                    <w:widowControl w:val="0"/>
                    <w:suppressLineNumbers w:val="0"/>
                    <w:spacing w:before="0" w:beforeAutospacing="0" w:after="0" w:afterAutospacing="0" w:line="360" w:lineRule="auto"/>
                    <w:ind w:left="0" w:right="0"/>
                    <w:jc w:val="center"/>
                    <w:rPr>
                      <w:rFonts w:hint="default" w:ascii="宋体" w:hAnsi="宋体" w:eastAsia="宋体"/>
                      <w:color w:val="000000"/>
                      <w:sz w:val="21"/>
                      <w:szCs w:val="21"/>
                      <w:lang w:val="en-US"/>
                    </w:rPr>
                  </w:pPr>
                  <w:r>
                    <w:rPr>
                      <w:rFonts w:hint="eastAsia" w:ascii="宋体" w:hAnsi="宋体" w:eastAsia="宋体" w:cs="宋体"/>
                      <w:color w:val="000000"/>
                      <w:kern w:val="2"/>
                      <w:sz w:val="21"/>
                      <w:szCs w:val="21"/>
                      <w:lang w:val="en-US" w:eastAsia="zh-CN" w:bidi="ar"/>
                    </w:rPr>
                    <w:t>1001</w:t>
                  </w:r>
                </w:p>
              </w:tc>
            </w:tr>
          </w:tbl>
          <w:p w14:paraId="79F58751">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3）EVA材料处理剂</w:t>
            </w:r>
          </w:p>
          <w:p w14:paraId="354B5080">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EVA材料处理剂生产过程为纯物理过程，不存在化学反应，整个生产过程为常温常压下进行，具体工艺介绍如下：搪瓷兑稀釜中加入溶剂（甲苯、120#溶剂油、醋酸乙酯、环己烷、甲基环己烷），然后加入橡胶（氯化聚丙烯、氯化橡胶、氯丁橡胶、苯乙烯丁二烯橡胶、聚乙烯醋酸乙烯橡胶），溶解约2-3小时，加入丙烯酸低聚物，接着加入甲酸和磷酸，搅拌约30分钟，检测出料包装。（储罐物料（甲苯、120#溶剂油、醋酸乙酯）直接通过计量用泵抽到分散釜，其他物料由叉车运输到车间进行投料，液态物料采取泵输送，投料过程有集气罩，防止有机废气的逸散。固态物料采用人工投料方式，并配套布袋除尘设施对颗粒物进行收集和处理）</w:t>
            </w:r>
          </w:p>
          <w:p w14:paraId="7A60B0DB">
            <w:pPr>
              <w:keepNext w:val="0"/>
              <w:keepLines w:val="0"/>
              <w:widowControl w:val="0"/>
              <w:suppressLineNumbers w:val="0"/>
              <w:spacing w:before="91" w:beforeAutospacing="0" w:after="0" w:afterAutospacing="0" w:line="357" w:lineRule="auto"/>
              <w:ind w:left="0" w:right="0"/>
              <w:jc w:val="center"/>
              <w:rPr>
                <w:rFonts w:hint="default" w:eastAsia="宋体"/>
                <w:color w:val="000000"/>
                <w:spacing w:val="-3"/>
                <w:szCs w:val="28"/>
                <w:lang w:val="en-US"/>
              </w:rPr>
            </w:pPr>
            <w:r>
              <w:rPr>
                <w:rFonts w:hint="eastAsia" w:ascii="宋体" w:hAnsi="宋体" w:eastAsia="宋体" w:cs="宋体"/>
                <w:color w:val="000000"/>
                <w:kern w:val="0"/>
                <w:sz w:val="24"/>
                <w:szCs w:val="24"/>
                <w:lang w:val="en-US" w:eastAsia="zh-CN" w:bidi="ar"/>
              </w:rPr>
              <w:drawing>
                <wp:inline distT="0" distB="0" distL="114300" distR="114300">
                  <wp:extent cx="5686425" cy="2628900"/>
                  <wp:effectExtent l="0" t="0" r="9525" b="0"/>
                  <wp:docPr id="11"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IMG_256"/>
                          <pic:cNvPicPr>
                            <a:picLocks noChangeAspect="1"/>
                          </pic:cNvPicPr>
                        </pic:nvPicPr>
                        <pic:blipFill>
                          <a:blip r:embed="rId25"/>
                          <a:stretch>
                            <a:fillRect/>
                          </a:stretch>
                        </pic:blipFill>
                        <pic:spPr>
                          <a:xfrm>
                            <a:off x="0" y="0"/>
                            <a:ext cx="5686425" cy="2628900"/>
                          </a:xfrm>
                          <a:prstGeom prst="rect">
                            <a:avLst/>
                          </a:prstGeom>
                          <a:noFill/>
                          <a:ln>
                            <a:noFill/>
                          </a:ln>
                        </pic:spPr>
                      </pic:pic>
                    </a:graphicData>
                  </a:graphic>
                </wp:inline>
              </w:drawing>
            </w:r>
          </w:p>
          <w:p w14:paraId="59C356F5">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color w:val="000000"/>
                <w:szCs w:val="24"/>
                <w:lang w:val="en-US"/>
              </w:rPr>
            </w:pPr>
            <w:r>
              <w:rPr>
                <w:rFonts w:hint="eastAsia" w:ascii="黑体" w:hAnsi="宋体" w:eastAsia="黑体" w:cs="黑体"/>
                <w:b/>
                <w:bCs/>
                <w:color w:val="000000"/>
                <w:kern w:val="2"/>
                <w:sz w:val="24"/>
                <w:szCs w:val="24"/>
                <w:lang w:val="en-US" w:eastAsia="zh-CN" w:bidi="ar"/>
              </w:rPr>
              <w:t>图3-3  功能配套的EVA处理剂生产工艺流程方框图</w:t>
            </w:r>
          </w:p>
          <w:p w14:paraId="5A553AD7">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color w:val="000000"/>
                <w:sz w:val="24"/>
                <w:szCs w:val="22"/>
                <w:lang w:val="en-US"/>
              </w:rPr>
            </w:pPr>
            <w:bookmarkStart w:id="1" w:name="_Toc89434827"/>
            <w:bookmarkStart w:id="2" w:name="_Toc10794"/>
            <w:bookmarkStart w:id="3" w:name="_Toc89434725"/>
            <w:r>
              <w:rPr>
                <w:rFonts w:hint="eastAsia" w:ascii="黑体" w:hAnsi="宋体" w:eastAsia="黑体" w:cs="黑体"/>
                <w:b/>
                <w:bCs w:val="0"/>
                <w:color w:val="000000"/>
                <w:kern w:val="2"/>
                <w:sz w:val="24"/>
                <w:szCs w:val="22"/>
                <w:lang w:val="en-US" w:eastAsia="zh-CN" w:bidi="ar"/>
              </w:rPr>
              <w:t>表3-3</w:t>
            </w:r>
            <w:r>
              <w:rPr>
                <w:rFonts w:hint="eastAsia" w:ascii="黑体" w:hAnsi="宋体" w:eastAsia="黑体" w:cs="黑体"/>
                <w:b/>
                <w:bCs/>
                <w:color w:val="000000"/>
                <w:kern w:val="2"/>
                <w:sz w:val="24"/>
                <w:szCs w:val="22"/>
                <w:lang w:val="en-US" w:eastAsia="zh-CN" w:bidi="ar"/>
              </w:rPr>
              <w:t xml:space="preserve">  EVA材料处理剂总物料平衡表（单位：kg/批）</w:t>
            </w:r>
          </w:p>
          <w:tbl>
            <w:tblPr>
              <w:tblStyle w:val="2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7"/>
              <w:gridCol w:w="2148"/>
              <w:gridCol w:w="1814"/>
              <w:gridCol w:w="755"/>
              <w:gridCol w:w="2261"/>
              <w:gridCol w:w="1190"/>
            </w:tblGrid>
            <w:tr w14:paraId="7638BF5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462FAF6">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CD660C">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5666E0">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4A35597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7F77F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BB049BF">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4ABE2DB">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D1E5C7F">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E629F7E">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5D24083D">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55C2C6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116D2A6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甲苯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9423CF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755</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0B710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EVA材料处理剂</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98CD2F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5000</w:t>
                  </w:r>
                </w:p>
              </w:tc>
            </w:tr>
            <w:tr w14:paraId="39F9909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2F0592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w:t>
                  </w:r>
                </w:p>
              </w:tc>
              <w:tc>
                <w:tcPr>
                  <w:tcW w:w="120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ACD47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120#溶剂油（工业庚烷）</w:t>
                  </w:r>
                </w:p>
              </w:tc>
              <w:tc>
                <w:tcPr>
                  <w:tcW w:w="101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04634FD">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1000</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F8E7C0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废气</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029191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G7-1TVOC（环己烷、其他物质）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717AEC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0.8（0.3、0.5）</w:t>
                  </w:r>
                </w:p>
              </w:tc>
            </w:tr>
            <w:tr w14:paraId="1BB5F65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9E396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B6839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01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A4C0FC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7295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1F4494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颗粒物</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880BA4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0.2</w:t>
                  </w:r>
                </w:p>
              </w:tc>
            </w:tr>
            <w:tr w14:paraId="40E8775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E84415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C5FDE0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醋酸乙酯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A22A91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1000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35FE1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6F3D28B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G7-2TVOC（甲苯、环己烷、其他物质）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62C408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3（0.4、0.6、2）</w:t>
                  </w:r>
                </w:p>
              </w:tc>
            </w:tr>
            <w:tr w14:paraId="797EA64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46E5FF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4F4972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环己烷</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911282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1000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D4512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07246C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G7-3TVOC（甲苯、环己烷、其他物质）</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4B8E85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1.5（0.2、0.3、1）</w:t>
                  </w:r>
                </w:p>
              </w:tc>
            </w:tr>
            <w:tr w14:paraId="118CF876">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066299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8453CE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甲基环己烷</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A509FC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1000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0E124A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AA13E9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8F583C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16A23E8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AF3362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6</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15061EC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氯化橡胶</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66AEB2E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2918F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194A58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A2737A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23FC2561">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EE895A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7</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C7EED0E">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氯化聚丙烯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ED7F4A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252F8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761B733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41CFE0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3C7B77B2">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2379BB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8</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202FE97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氯丁橡胶</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41508CD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3.1</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BF36A5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7F7E10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680922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04B7D79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1E1CFD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9</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F5869E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苯乙烯丁二烯橡胶</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6F038C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D1A0B1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7EF11222">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0B0E39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44500B6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0470ED2E">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10</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FB0169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聚乙烯醋酸乙烯橡胶</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208B2F3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197</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86037F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39CA32C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992538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4CA6628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62024D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76D9800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丙烯酸低聚物</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13BCFA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60B0B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19BAE5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5BC4C8C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2A94C0C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417260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12</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656B873">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过氧化二苯甲酰75%（稳定）</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7BAF9D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0.1</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8CC6E6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1B82FFF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2D7640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06BD71C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7C5F26B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05BAE6E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甲酸</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05AEB24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C07F5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0ECE56F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F20E5E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45DABAD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F154C4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B549D5E">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2-羟基丁二酸</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495DBB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0.3</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9E3CC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65DB31B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AB79435">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p>
              </w:tc>
            </w:tr>
            <w:tr w14:paraId="45E36B0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29EE75F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4FA3D6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071B74E">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5005.5</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144A5F3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FF9117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5005.5</w:t>
                  </w:r>
                </w:p>
              </w:tc>
            </w:tr>
          </w:tbl>
          <w:p w14:paraId="6F6975D2">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4）功能配套的固化剂生产工艺流程</w:t>
            </w:r>
            <w:bookmarkEnd w:id="1"/>
            <w:bookmarkEnd w:id="2"/>
            <w:bookmarkEnd w:id="3"/>
          </w:p>
          <w:p w14:paraId="1317298F">
            <w:pPr>
              <w:keepNext w:val="0"/>
              <w:keepLines w:val="0"/>
              <w:widowControl w:val="0"/>
              <w:suppressLineNumbers w:val="0"/>
              <w:spacing w:before="0" w:beforeAutospacing="0" w:after="0" w:afterAutospacing="0" w:line="360" w:lineRule="auto"/>
              <w:ind w:left="0" w:right="0" w:firstLine="560"/>
              <w:jc w:val="both"/>
              <w:rPr>
                <w:rFonts w:hint="default"/>
                <w:color w:val="000000"/>
                <w:spacing w:val="-2"/>
                <w:sz w:val="24"/>
                <w:szCs w:val="24"/>
                <w:lang w:val="en-US"/>
              </w:rPr>
            </w:pPr>
            <w:r>
              <w:rPr>
                <w:rFonts w:hint="eastAsia" w:ascii="宋体" w:hAnsi="宋体" w:eastAsia="宋体" w:cs="宋体"/>
                <w:color w:val="000000"/>
                <w:spacing w:val="-2"/>
                <w:kern w:val="2"/>
                <w:sz w:val="24"/>
                <w:szCs w:val="24"/>
                <w:lang w:val="en-US" w:eastAsia="zh-CN" w:bidi="ar"/>
              </w:rPr>
              <w:t>EVA材料处理剂生产过程为纯物理过程，不存在化学反应，整个生产过程为常温常压下进行，具体工艺介绍如下：搪瓷兑稀釜加入溶剂（醋酸乙酯、醋酸丁酯），然后加入T1做稳定剂，搅拌30分钟后加入聚异氰酸酯，搅拌30分钟即可检验包装。储罐物料（醋酸乙酯、醋酸丁酯）直接通过计量用泵抽到分散釜，其他物料由叉车运输，液态物料采取泵输送。</w:t>
            </w:r>
          </w:p>
          <w:p w14:paraId="416FDA7F">
            <w:pPr>
              <w:keepNext w:val="0"/>
              <w:keepLines w:val="0"/>
              <w:widowControl/>
              <w:suppressLineNumbers w:val="0"/>
              <w:spacing w:before="0" w:beforeAutospacing="0" w:after="0" w:afterAutospacing="0" w:line="360" w:lineRule="auto"/>
              <w:ind w:left="0" w:right="0"/>
              <w:jc w:val="center"/>
              <w:rPr>
                <w:rFonts w:hint="default"/>
                <w:color w:val="000000"/>
                <w:lang w:val="en-US"/>
              </w:rPr>
            </w:pPr>
            <w:r>
              <w:rPr>
                <w:rFonts w:hint="eastAsia" w:ascii="宋体" w:hAnsi="宋体" w:eastAsia="宋体" w:cs="宋体"/>
                <w:color w:val="000000"/>
                <w:kern w:val="0"/>
                <w:sz w:val="24"/>
                <w:szCs w:val="24"/>
                <w:lang w:val="en-US" w:eastAsia="zh-CN" w:bidi="ar"/>
              </w:rPr>
              <w:drawing>
                <wp:inline distT="0" distB="0" distL="114300" distR="114300">
                  <wp:extent cx="4876800" cy="2628900"/>
                  <wp:effectExtent l="0" t="0" r="0" b="0"/>
                  <wp:docPr id="12"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56"/>
                          <pic:cNvPicPr>
                            <a:picLocks noChangeAspect="1"/>
                          </pic:cNvPicPr>
                        </pic:nvPicPr>
                        <pic:blipFill>
                          <a:blip r:embed="rId26"/>
                          <a:stretch>
                            <a:fillRect/>
                          </a:stretch>
                        </pic:blipFill>
                        <pic:spPr>
                          <a:xfrm>
                            <a:off x="0" y="0"/>
                            <a:ext cx="4876800" cy="2628900"/>
                          </a:xfrm>
                          <a:prstGeom prst="rect">
                            <a:avLst/>
                          </a:prstGeom>
                          <a:noFill/>
                          <a:ln>
                            <a:noFill/>
                          </a:ln>
                        </pic:spPr>
                      </pic:pic>
                    </a:graphicData>
                  </a:graphic>
                </wp:inline>
              </w:drawing>
            </w:r>
          </w:p>
          <w:p w14:paraId="44C78900">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en-US"/>
              </w:rPr>
            </w:pPr>
            <w:r>
              <w:rPr>
                <w:rFonts w:hint="eastAsia" w:ascii="黑体" w:hAnsi="宋体" w:eastAsia="黑体" w:cs="黑体"/>
                <w:b/>
                <w:bCs/>
                <w:color w:val="000000"/>
                <w:kern w:val="2"/>
                <w:sz w:val="24"/>
                <w:szCs w:val="24"/>
                <w:lang w:val="en-US" w:eastAsia="zh-CN" w:bidi="ar"/>
              </w:rPr>
              <w:t>图3-4  功能配套的固化剂生产工艺流程方框图</w:t>
            </w:r>
          </w:p>
          <w:p w14:paraId="29E97E74">
            <w:pPr>
              <w:pStyle w:val="16"/>
              <w:keepNext w:val="0"/>
              <w:keepLines w:val="0"/>
              <w:widowControl w:val="0"/>
              <w:suppressLineNumbers w:val="0"/>
              <w:spacing w:before="120" w:beforeLines="50" w:beforeAutospacing="0" w:after="0" w:afterAutospacing="0" w:line="360" w:lineRule="auto"/>
              <w:ind w:left="0" w:right="0"/>
              <w:jc w:val="center"/>
              <w:rPr>
                <w:rFonts w:hint="eastAsia" w:ascii="黑体" w:hAnsi="宋体" w:eastAsia="黑体" w:cs="黑体"/>
                <w:b/>
                <w:bCs/>
                <w:color w:val="000000"/>
                <w:sz w:val="24"/>
                <w:szCs w:val="22"/>
                <w:lang w:val="en-US"/>
              </w:rPr>
            </w:pPr>
            <w:r>
              <w:rPr>
                <w:rFonts w:hint="eastAsia" w:ascii="黑体" w:hAnsi="宋体" w:eastAsia="黑体" w:cs="黑体"/>
                <w:b/>
                <w:bCs w:val="0"/>
                <w:color w:val="000000"/>
                <w:kern w:val="2"/>
                <w:sz w:val="24"/>
                <w:szCs w:val="22"/>
                <w:lang w:val="en-US" w:eastAsia="zh-CN" w:bidi="ar"/>
              </w:rPr>
              <w:t>表</w:t>
            </w:r>
            <w:r>
              <w:rPr>
                <w:rFonts w:hint="eastAsia" w:ascii="黑体" w:hAnsi="宋体" w:eastAsia="黑体" w:cs="黑体"/>
                <w:b/>
                <w:bCs/>
                <w:color w:val="000000"/>
                <w:kern w:val="2"/>
                <w:sz w:val="24"/>
                <w:szCs w:val="24"/>
                <w:lang w:val="en-US" w:eastAsia="zh-CN" w:bidi="ar"/>
              </w:rPr>
              <w:t>3-4</w:t>
            </w:r>
            <w:r>
              <w:rPr>
                <w:rFonts w:hint="eastAsia" w:ascii="黑体" w:hAnsi="宋体" w:eastAsia="黑体" w:cs="黑体"/>
                <w:b/>
                <w:bCs/>
                <w:color w:val="000000"/>
                <w:kern w:val="2"/>
                <w:sz w:val="24"/>
                <w:szCs w:val="22"/>
                <w:lang w:val="en-US" w:eastAsia="zh-CN" w:bidi="ar"/>
              </w:rPr>
              <w:t xml:space="preserve">  固化剂总物料平衡表（单位：t/a）</w:t>
            </w:r>
          </w:p>
          <w:tbl>
            <w:tblPr>
              <w:tblStyle w:val="23"/>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757"/>
              <w:gridCol w:w="2148"/>
              <w:gridCol w:w="1814"/>
              <w:gridCol w:w="755"/>
              <w:gridCol w:w="2261"/>
              <w:gridCol w:w="1190"/>
            </w:tblGrid>
            <w:tr w14:paraId="771C14F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C01F06">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序号</w:t>
                  </w:r>
                </w:p>
              </w:tc>
              <w:tc>
                <w:tcPr>
                  <w:tcW w:w="221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49AA33B4">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物料投入</w:t>
                  </w:r>
                </w:p>
              </w:tc>
              <w:tc>
                <w:tcPr>
                  <w:tcW w:w="2355"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73B7AE19">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物料产出</w:t>
                  </w:r>
                </w:p>
              </w:tc>
            </w:tr>
            <w:tr w14:paraId="2EDADD8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2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7F102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8B941FC">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B95F975">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5FCF7B84">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物料名称</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935DCD3">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数量</w:t>
                  </w:r>
                </w:p>
              </w:tc>
            </w:tr>
            <w:tr w14:paraId="46AC9227">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355C00C8">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1</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109EC1D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醋酸乙酯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530D673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480</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33102A9A">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固化剂</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72134754">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800</w:t>
                  </w:r>
                </w:p>
              </w:tc>
            </w:tr>
            <w:tr w14:paraId="64CBE949">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6BDC048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5D94BA65">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乙酸丁酯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F7075C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80.8</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E1F673F">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废气</w:t>
                  </w: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023AEA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G8-1TVOC</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59C94E1">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0.16</w:t>
                  </w:r>
                </w:p>
              </w:tc>
            </w:tr>
            <w:tr w14:paraId="6BE2F18C">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E2A31DC">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3</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3CB3093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稳定剂T1</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32345CF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2.4</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1D5654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21CD70D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G8-2TVOC</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5C2A820">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0.48</w:t>
                  </w:r>
                </w:p>
              </w:tc>
            </w:tr>
            <w:tr w14:paraId="5F6D292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57C3274B">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4</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6B5BF247">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聚异氰酸酯</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72DFDEB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237.6</w:t>
                  </w:r>
                </w:p>
              </w:tc>
              <w:tc>
                <w:tcPr>
                  <w:tcW w:w="42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5972B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1266" w:type="pct"/>
                  <w:tcBorders>
                    <w:top w:val="single" w:color="auto" w:sz="4" w:space="0"/>
                    <w:left w:val="single" w:color="auto" w:sz="4" w:space="0"/>
                    <w:bottom w:val="single" w:color="auto" w:sz="4" w:space="0"/>
                    <w:right w:val="single" w:color="auto" w:sz="4" w:space="0"/>
                  </w:tcBorders>
                  <w:shd w:val="clear" w:color="auto" w:fill="auto"/>
                  <w:vAlign w:val="center"/>
                </w:tcPr>
                <w:p w14:paraId="48CB6BD9">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G8-3TVOC</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C9B05F6">
                  <w:pPr>
                    <w:keepNext w:val="0"/>
                    <w:keepLines w:val="0"/>
                    <w:widowControl w:val="0"/>
                    <w:suppressLineNumbers w:val="0"/>
                    <w:spacing w:before="0" w:beforeAutospacing="0" w:after="0" w:afterAutospacing="0" w:line="360" w:lineRule="auto"/>
                    <w:ind w:left="0" w:right="0"/>
                    <w:jc w:val="center"/>
                    <w:rPr>
                      <w:rFonts w:hint="default"/>
                      <w:color w:val="000000"/>
                      <w:sz w:val="21"/>
                      <w:szCs w:val="21"/>
                      <w:lang w:val="en-US"/>
                    </w:rPr>
                  </w:pPr>
                  <w:r>
                    <w:rPr>
                      <w:rFonts w:hint="eastAsia" w:ascii="宋体" w:hAnsi="宋体" w:eastAsia="宋体" w:cs="宋体"/>
                      <w:color w:val="000000"/>
                      <w:kern w:val="2"/>
                      <w:sz w:val="21"/>
                      <w:szCs w:val="21"/>
                      <w:lang w:val="en-US" w:eastAsia="zh-CN" w:bidi="ar"/>
                    </w:rPr>
                    <w:t>0.16</w:t>
                  </w:r>
                </w:p>
              </w:tc>
            </w:tr>
            <w:tr w14:paraId="07CB1BDA">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shd w:val="clear" w:color="auto" w:fill="auto"/>
                <w:tblCellMar>
                  <w:top w:w="0" w:type="dxa"/>
                  <w:left w:w="28" w:type="dxa"/>
                  <w:bottom w:w="0" w:type="dxa"/>
                  <w:right w:w="28" w:type="dxa"/>
                </w:tblCellMar>
              </w:tblPrEx>
              <w:trPr>
                <w:cantSplit/>
                <w:trHeight w:val="397" w:hRule="atLeast"/>
                <w:jc w:val="center"/>
              </w:trPr>
              <w:tc>
                <w:tcPr>
                  <w:tcW w:w="424" w:type="pct"/>
                  <w:tcBorders>
                    <w:top w:val="single" w:color="auto" w:sz="4" w:space="0"/>
                    <w:left w:val="single" w:color="auto" w:sz="4" w:space="0"/>
                    <w:bottom w:val="single" w:color="auto" w:sz="4" w:space="0"/>
                    <w:right w:val="single" w:color="auto" w:sz="4" w:space="0"/>
                  </w:tcBorders>
                  <w:shd w:val="clear" w:color="auto" w:fill="auto"/>
                  <w:vAlign w:val="center"/>
                </w:tcPr>
                <w:p w14:paraId="13CDA750">
                  <w:pPr>
                    <w:keepNext w:val="0"/>
                    <w:keepLines w:val="0"/>
                    <w:widowControl w:val="0"/>
                    <w:suppressLineNumbers w:val="0"/>
                    <w:spacing w:before="0" w:beforeAutospacing="0" w:after="0" w:afterAutospacing="0" w:line="360" w:lineRule="auto"/>
                    <w:ind w:left="0" w:right="0"/>
                    <w:jc w:val="center"/>
                    <w:rPr>
                      <w:rFonts w:hint="default"/>
                      <w:color w:val="000000"/>
                      <w:spacing w:val="4"/>
                      <w:kern w:val="18"/>
                      <w:sz w:val="21"/>
                      <w:szCs w:val="21"/>
                      <w:lang w:val="en-US"/>
                    </w:rPr>
                  </w:pPr>
                  <w:r>
                    <w:rPr>
                      <w:rFonts w:hint="eastAsia" w:ascii="宋体" w:hAnsi="宋体" w:eastAsia="宋体" w:cs="宋体"/>
                      <w:color w:val="000000"/>
                      <w:spacing w:val="4"/>
                      <w:kern w:val="18"/>
                      <w:sz w:val="21"/>
                      <w:szCs w:val="21"/>
                      <w:lang w:val="en-US" w:eastAsia="zh-CN" w:bidi="ar"/>
                    </w:rPr>
                    <w:t>合计</w:t>
                  </w:r>
                </w:p>
              </w:tc>
              <w:tc>
                <w:tcPr>
                  <w:tcW w:w="1203" w:type="pct"/>
                  <w:tcBorders>
                    <w:top w:val="single" w:color="auto" w:sz="4" w:space="0"/>
                    <w:left w:val="single" w:color="auto" w:sz="4" w:space="0"/>
                    <w:bottom w:val="single" w:color="auto" w:sz="4" w:space="0"/>
                    <w:right w:val="single" w:color="auto" w:sz="4" w:space="0"/>
                  </w:tcBorders>
                  <w:shd w:val="clear" w:color="auto" w:fill="auto"/>
                  <w:vAlign w:val="center"/>
                </w:tcPr>
                <w:p w14:paraId="2AD6A284">
                  <w:pPr>
                    <w:keepNext w:val="0"/>
                    <w:keepLines w:val="0"/>
                    <w:widowControl w:val="0"/>
                    <w:suppressLineNumbers w:val="0"/>
                    <w:spacing w:before="0" w:beforeAutospacing="0" w:after="0" w:afterAutospacing="0" w:line="360" w:lineRule="auto"/>
                    <w:ind w:left="0" w:right="0"/>
                    <w:jc w:val="center"/>
                    <w:rPr>
                      <w:rFonts w:hint="default"/>
                      <w:color w:val="000000"/>
                      <w:spacing w:val="4"/>
                      <w:kern w:val="18"/>
                      <w:sz w:val="21"/>
                      <w:szCs w:val="21"/>
                      <w:lang w:val="en-US"/>
                    </w:rPr>
                  </w:pPr>
                  <w:r>
                    <w:rPr>
                      <w:rFonts w:hint="eastAsia" w:ascii="宋体" w:hAnsi="宋体" w:eastAsia="宋体" w:cs="宋体"/>
                      <w:color w:val="000000"/>
                      <w:spacing w:val="4"/>
                      <w:kern w:val="18"/>
                      <w:sz w:val="21"/>
                      <w:szCs w:val="21"/>
                      <w:lang w:val="en-US" w:eastAsia="zh-CN" w:bidi="ar"/>
                    </w:rPr>
                    <w:t>/</w:t>
                  </w:r>
                </w:p>
              </w:tc>
              <w:tc>
                <w:tcPr>
                  <w:tcW w:w="1016" w:type="pct"/>
                  <w:tcBorders>
                    <w:top w:val="single" w:color="auto" w:sz="4" w:space="0"/>
                    <w:left w:val="single" w:color="auto" w:sz="4" w:space="0"/>
                    <w:bottom w:val="single" w:color="auto" w:sz="4" w:space="0"/>
                    <w:right w:val="single" w:color="auto" w:sz="4" w:space="0"/>
                  </w:tcBorders>
                  <w:shd w:val="clear" w:color="auto" w:fill="auto"/>
                  <w:vAlign w:val="center"/>
                </w:tcPr>
                <w:p w14:paraId="10853C97">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800.8</w:t>
                  </w:r>
                </w:p>
              </w:tc>
              <w:tc>
                <w:tcPr>
                  <w:tcW w:w="168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770A15BF">
                  <w:pPr>
                    <w:keepNext w:val="0"/>
                    <w:keepLines w:val="0"/>
                    <w:widowControl w:val="0"/>
                    <w:suppressLineNumbers w:val="0"/>
                    <w:spacing w:before="0" w:beforeAutospacing="0" w:after="0" w:afterAutospacing="0" w:line="360" w:lineRule="auto"/>
                    <w:ind w:left="0" w:right="0"/>
                    <w:jc w:val="center"/>
                    <w:rPr>
                      <w:rFonts w:hint="default"/>
                      <w:color w:val="000000"/>
                      <w:spacing w:val="4"/>
                      <w:kern w:val="18"/>
                      <w:sz w:val="21"/>
                      <w:szCs w:val="21"/>
                      <w:lang w:val="en-US"/>
                    </w:rPr>
                  </w:pPr>
                  <w:r>
                    <w:rPr>
                      <w:rFonts w:hint="eastAsia" w:ascii="宋体" w:hAnsi="宋体" w:eastAsia="宋体" w:cs="宋体"/>
                      <w:color w:val="000000"/>
                      <w:spacing w:val="4"/>
                      <w:kern w:val="18"/>
                      <w:sz w:val="21"/>
                      <w:szCs w:val="21"/>
                      <w:lang w:val="en-US" w:eastAsia="zh-CN" w:bidi="ar"/>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6B4E107">
                  <w:pPr>
                    <w:keepNext w:val="0"/>
                    <w:keepLines w:val="0"/>
                    <w:widowControl w:val="0"/>
                    <w:suppressLineNumbers w:val="0"/>
                    <w:spacing w:before="0" w:beforeAutospacing="0" w:after="0" w:afterAutospacing="0" w:line="360" w:lineRule="auto"/>
                    <w:ind w:left="0" w:right="0"/>
                    <w:jc w:val="center"/>
                    <w:rPr>
                      <w:rFonts w:hint="default"/>
                      <w:b/>
                      <w:bCs w:val="0"/>
                      <w:color w:val="000000"/>
                      <w:spacing w:val="4"/>
                      <w:kern w:val="18"/>
                      <w:sz w:val="21"/>
                      <w:szCs w:val="21"/>
                      <w:lang w:val="en-US"/>
                    </w:rPr>
                  </w:pPr>
                  <w:r>
                    <w:rPr>
                      <w:rFonts w:hint="eastAsia" w:ascii="宋体" w:hAnsi="宋体" w:eastAsia="宋体" w:cs="宋体"/>
                      <w:b/>
                      <w:bCs w:val="0"/>
                      <w:color w:val="000000"/>
                      <w:spacing w:val="4"/>
                      <w:kern w:val="18"/>
                      <w:sz w:val="21"/>
                      <w:szCs w:val="21"/>
                      <w:lang w:val="en-US" w:eastAsia="zh-CN" w:bidi="ar"/>
                    </w:rPr>
                    <w:t>800.8</w:t>
                  </w:r>
                </w:p>
              </w:tc>
            </w:tr>
          </w:tbl>
          <w:p w14:paraId="760F1E7F">
            <w:pPr>
              <w:keepNext w:val="0"/>
              <w:keepLines w:val="0"/>
              <w:widowControl w:val="0"/>
              <w:suppressLineNumbers w:val="0"/>
              <w:spacing w:before="0" w:beforeAutospacing="0" w:after="0" w:afterAutospacing="0" w:line="240" w:lineRule="exact"/>
              <w:ind w:left="0" w:right="0"/>
              <w:jc w:val="both"/>
              <w:rPr>
                <w:rFonts w:hint="default"/>
                <w:color w:val="000000"/>
                <w:lang w:val="en-US"/>
              </w:rPr>
            </w:pPr>
          </w:p>
          <w:p w14:paraId="7C1B305F">
            <w:pPr>
              <w:pStyle w:val="5"/>
              <w:widowControl/>
              <w:suppressLineNumbers w:val="0"/>
              <w:spacing w:before="0" w:beforeAutospacing="0" w:after="0" w:afterAutospacing="0"/>
              <w:ind w:left="0" w:right="0"/>
              <w:rPr>
                <w:rFonts w:hint="eastAsia" w:ascii="宋体" w:hAnsi="宋体" w:eastAsia="宋体" w:cs="宋体"/>
                <w:color w:val="000000"/>
                <w:sz w:val="24"/>
                <w:szCs w:val="32"/>
                <w:lang w:eastAsia="zh-CN"/>
              </w:rPr>
            </w:pPr>
            <w:r>
              <w:rPr>
                <w:rFonts w:hint="eastAsia" w:ascii="宋体" w:hAnsi="宋体" w:eastAsia="宋体" w:cs="宋体"/>
                <w:color w:val="000000"/>
                <w:sz w:val="24"/>
                <w:szCs w:val="32"/>
                <w:lang w:val="en-US" w:eastAsia="zh-CN"/>
              </w:rPr>
              <w:t>4.</w:t>
            </w:r>
            <w:r>
              <w:rPr>
                <w:rFonts w:hint="eastAsia" w:ascii="宋体" w:hAnsi="宋体" w:eastAsia="宋体" w:cs="宋体"/>
                <w:color w:val="000000"/>
                <w:sz w:val="24"/>
                <w:szCs w:val="32"/>
                <w:lang w:eastAsia="zh-CN"/>
              </w:rPr>
              <w:t>尾气（废气）处理工艺</w:t>
            </w:r>
          </w:p>
          <w:p w14:paraId="31890E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b/>
                <w:bCs/>
                <w:color w:val="000000"/>
                <w:sz w:val="24"/>
                <w:szCs w:val="24"/>
                <w:lang w:val="en-US"/>
              </w:rPr>
            </w:pPr>
            <w:r>
              <w:rPr>
                <w:rFonts w:hint="eastAsia" w:ascii="Times New Roman" w:hAnsi="Times New Roman" w:eastAsia="宋体" w:cs="宋体"/>
                <w:b/>
                <w:bCs/>
                <w:color w:val="000000"/>
                <w:kern w:val="2"/>
                <w:sz w:val="24"/>
                <w:szCs w:val="24"/>
                <w:lang w:val="zh-CN" w:eastAsia="zh-CN" w:bidi="ar"/>
              </w:rPr>
              <w:t>一、</w:t>
            </w:r>
            <w:r>
              <w:rPr>
                <w:rFonts w:hint="eastAsia" w:ascii="宋体" w:hAnsi="宋体" w:eastAsia="宋体" w:cs="宋体"/>
                <w:b/>
                <w:bCs/>
                <w:color w:val="000000"/>
                <w:kern w:val="2"/>
                <w:sz w:val="24"/>
                <w:szCs w:val="24"/>
                <w:lang w:val="en-US" w:eastAsia="zh-CN" w:bidi="ar"/>
              </w:rPr>
              <w:t>该项目生产工艺及储罐区废气处理系统：</w:t>
            </w:r>
          </w:p>
          <w:p w14:paraId="54B7B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olor w:val="000000"/>
                <w:sz w:val="24"/>
                <w:szCs w:val="24"/>
                <w:lang w:val="en-US"/>
              </w:rPr>
            </w:pPr>
            <w:r>
              <w:rPr>
                <w:rFonts w:hint="eastAsia" w:ascii="宋体" w:hAnsi="宋体" w:eastAsia="宋体" w:cs="宋体"/>
                <w:color w:val="000000"/>
                <w:kern w:val="2"/>
                <w:sz w:val="24"/>
                <w:szCs w:val="24"/>
                <w:lang w:val="en-US" w:eastAsia="zh-CN" w:bidi="ar"/>
              </w:rPr>
              <w:t>1、收集系统设计</w:t>
            </w:r>
          </w:p>
          <w:p w14:paraId="2A2536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olor w:val="000000"/>
                <w:sz w:val="24"/>
                <w:szCs w:val="24"/>
                <w:lang w:val="en-US"/>
              </w:rPr>
            </w:pPr>
            <w:r>
              <w:rPr>
                <w:rFonts w:hint="eastAsia" w:ascii="宋体" w:hAnsi="宋体" w:eastAsia="宋体" w:cs="宋体"/>
                <w:color w:val="000000"/>
                <w:kern w:val="2"/>
                <w:sz w:val="24"/>
                <w:szCs w:val="24"/>
                <w:lang w:val="en-US" w:eastAsia="zh-CN" w:bidi="ar"/>
              </w:rPr>
              <w:t>102 甲类车间二：针对反应釜（如 R-2301 合成树脂反应釜、R-2421 水性预聚釜）、脱溶釜（R-2221）等产污设备，设置顶部集气罩（罩口风速 0.5-0.8m/s），通过 DN200 镀锌钢管（防静电接地，每 20m 设接地极）连接至主管道；储罐区（205 埋地罐区）每个储罐呼吸阀出口设置密闭收集罩，与车间废气主管道汇合，总风量设计为20000m³/h（依据《大气污染物综合排放标准》GB16297-1996 中 “排气筒高度≥25m”要求匹配）。</w:t>
            </w:r>
          </w:p>
          <w:p w14:paraId="6D1E29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olor w:val="000000"/>
                <w:sz w:val="24"/>
                <w:szCs w:val="24"/>
                <w:lang w:val="en-US"/>
              </w:rPr>
            </w:pPr>
            <w:r>
              <w:rPr>
                <w:rFonts w:hint="eastAsia" w:ascii="宋体" w:hAnsi="宋体" w:eastAsia="宋体" w:cs="宋体"/>
                <w:color w:val="000000"/>
                <w:kern w:val="2"/>
                <w:sz w:val="24"/>
                <w:szCs w:val="24"/>
                <w:lang w:val="en-US" w:eastAsia="zh-CN" w:bidi="ar"/>
              </w:rPr>
              <w:t>气流组织：采用 “负压收集”模式，风机（防爆型，ExdⅡBT4，功率 37kW）设置于处理装置前端，确保车间及罐区收集区域负压（-50至-100Pa），避免废气逸散。</w:t>
            </w:r>
          </w:p>
          <w:p w14:paraId="249A64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olor w:val="000000"/>
                <w:sz w:val="24"/>
                <w:szCs w:val="24"/>
                <w:lang w:val="en-US"/>
              </w:rPr>
            </w:pPr>
            <w:r>
              <w:rPr>
                <w:rFonts w:hint="eastAsia" w:ascii="宋体" w:hAnsi="宋体" w:eastAsia="宋体" w:cs="宋体"/>
                <w:color w:val="000000"/>
                <w:kern w:val="2"/>
                <w:sz w:val="24"/>
                <w:szCs w:val="24"/>
                <w:lang w:val="en-US" w:eastAsia="zh-CN" w:bidi="ar"/>
              </w:rPr>
              <w:t>2、处理工艺路线</w:t>
            </w:r>
          </w:p>
          <w:p w14:paraId="7D7E94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宋体" w:hAnsi="宋体" w:eastAsia="宋体"/>
                <w:color w:val="000000"/>
                <w:szCs w:val="28"/>
                <w:lang w:val="en-US"/>
              </w:rPr>
            </w:pPr>
            <w:r>
              <w:rPr>
                <w:rFonts w:hint="eastAsia" w:ascii="宋体" w:hAnsi="宋体" w:eastAsia="宋体" w:cs="宋体"/>
                <w:color w:val="000000"/>
                <w:kern w:val="2"/>
                <w:sz w:val="24"/>
                <w:szCs w:val="24"/>
                <w:lang w:val="en-US" w:eastAsia="zh-CN" w:bidi="ar"/>
              </w:rPr>
              <w:t>采用“冷凝回收+三级活性炭吸附”组合工艺，具体流程如下：</w:t>
            </w:r>
          </w:p>
          <w:p w14:paraId="3B634A4F">
            <w:pPr>
              <w:pStyle w:val="16"/>
              <w:keepNext w:val="0"/>
              <w:keepLines w:val="0"/>
              <w:widowControl w:val="0"/>
              <w:suppressLineNumbers w:val="0"/>
              <w:spacing w:before="0" w:beforeAutospacing="0" w:after="0" w:afterAutospacing="0" w:line="360" w:lineRule="auto"/>
              <w:ind w:left="0" w:right="0"/>
              <w:jc w:val="both"/>
              <w:rPr>
                <w:rFonts w:hint="default"/>
                <w:color w:val="000000"/>
                <w:lang w:val="en-US"/>
              </w:rPr>
            </w:pPr>
            <w:r>
              <w:rPr>
                <w:rFonts w:hint="eastAsia" w:ascii="宋体" w:hAnsi="宋体" w:eastAsia="宋体" w:cs="宋体"/>
                <w:color w:val="000000"/>
                <w:kern w:val="2"/>
                <w:sz w:val="28"/>
                <w:szCs w:val="22"/>
                <w:lang w:val="en-US" w:eastAsia="zh-CN" w:bidi="ar"/>
              </w:rPr>
              <w:drawing>
                <wp:inline distT="0" distB="0" distL="114300" distR="114300">
                  <wp:extent cx="5895975" cy="3038475"/>
                  <wp:effectExtent l="0" t="0" r="9525" b="9525"/>
                  <wp:docPr id="13"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6"/>
                          <pic:cNvPicPr>
                            <a:picLocks noChangeAspect="1"/>
                          </pic:cNvPicPr>
                        </pic:nvPicPr>
                        <pic:blipFill>
                          <a:blip r:embed="rId27"/>
                          <a:stretch>
                            <a:fillRect/>
                          </a:stretch>
                        </pic:blipFill>
                        <pic:spPr>
                          <a:xfrm>
                            <a:off x="0" y="0"/>
                            <a:ext cx="5895975" cy="3038475"/>
                          </a:xfrm>
                          <a:prstGeom prst="rect">
                            <a:avLst/>
                          </a:prstGeom>
                          <a:noFill/>
                          <a:ln>
                            <a:noFill/>
                          </a:ln>
                        </pic:spPr>
                      </pic:pic>
                    </a:graphicData>
                  </a:graphic>
                </wp:inline>
              </w:drawing>
            </w:r>
          </w:p>
          <w:p w14:paraId="64B162E5">
            <w:pPr>
              <w:keepNext w:val="0"/>
              <w:keepLines w:val="0"/>
              <w:widowControl w:val="0"/>
              <w:suppressLineNumbers w:val="0"/>
              <w:spacing w:before="0" w:beforeAutospacing="0" w:after="0" w:afterAutospacing="0" w:line="360" w:lineRule="auto"/>
              <w:ind w:left="0" w:right="0"/>
              <w:jc w:val="center"/>
              <w:rPr>
                <w:rFonts w:hint="eastAsia" w:ascii="黑体" w:hAnsi="宋体" w:eastAsia="黑体" w:cs="黑体"/>
                <w:b/>
                <w:bCs/>
                <w:color w:val="000000"/>
                <w:sz w:val="24"/>
                <w:szCs w:val="24"/>
                <w:lang w:val="en-US"/>
              </w:rPr>
            </w:pPr>
            <w:r>
              <w:rPr>
                <w:rFonts w:hint="eastAsia" w:ascii="黑体" w:hAnsi="宋体" w:eastAsia="黑体" w:cs="黑体"/>
                <w:b/>
                <w:bCs/>
                <w:color w:val="000000"/>
                <w:kern w:val="2"/>
                <w:sz w:val="24"/>
                <w:szCs w:val="24"/>
                <w:lang w:val="en-US" w:eastAsia="zh-CN" w:bidi="ar"/>
              </w:rPr>
              <w:t>图4-1  “冷凝回收+三级活性炭吸附”组合工艺流程方框图</w:t>
            </w:r>
          </w:p>
          <w:p w14:paraId="44295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冷凝回收：采用低温冷凝（-10℃），对高沸点溶剂（如二甲基甲酰胺，沸点 153℃）回收率≥80%，低沸点溶剂（如丙酮，沸点 56℃）回收率≥60%，冷凝液经管道输送至 102 甲类车间二精馏塔（T2001）精制后回用，减少危废产生。</w:t>
            </w:r>
          </w:p>
          <w:p w14:paraId="5B320A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活性炭吸附：三级塔串联运行，单塔活性炭填充量 10m³，空塔气速 0.8m/s，停留时间≥1.5s；设置 “吸附-脱附” 切换功能，当一级塔活性炭饱和（通过进出口 VOCs 浓度差判定，差值＜10% 即判定饱和）时，切换至二级塔运行，一级塔采用 120℃热氮气脱附（氮气纯度≥99.99%），脱附气返回冷凝回收装置，实现活性炭再生，延长使用寿命（再生次数≤5 次后更换，废活性炭按危废处置）。</w:t>
            </w:r>
          </w:p>
          <w:p w14:paraId="3F2AAAB9">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3、处理效果</w:t>
            </w:r>
          </w:p>
          <w:p w14:paraId="7A609E5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处理效率：VOCs 综合去除率≥92.8%，异氰酸酯类去除率≥95%，处理后排气筒出口 VOCs 浓度≤50mg/m³，满足《合成树脂工业污染物排放标准》GB31572-2015 中“直接排放限值≤60mg/m³”要求；排气筒设置在线监测设备（VOCs、温度、压力、流量）。</w:t>
            </w:r>
          </w:p>
          <w:p w14:paraId="242F6D67">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b/>
                <w:bCs/>
                <w:color w:val="000000"/>
                <w:sz w:val="24"/>
                <w:szCs w:val="24"/>
                <w:lang w:val="en-US"/>
              </w:rPr>
            </w:pPr>
            <w:r>
              <w:rPr>
                <w:rFonts w:hint="eastAsia" w:ascii="宋体" w:hAnsi="宋体" w:eastAsia="宋体" w:cs="宋体"/>
                <w:b/>
                <w:bCs/>
                <w:color w:val="000000"/>
                <w:kern w:val="2"/>
                <w:sz w:val="24"/>
                <w:szCs w:val="24"/>
                <w:lang w:val="en-US" w:eastAsia="zh-CN" w:bidi="ar"/>
              </w:rPr>
              <w:t>二、实验室废气处理系统</w:t>
            </w:r>
          </w:p>
          <w:p w14:paraId="632BEF2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1、收集系统</w:t>
            </w:r>
          </w:p>
          <w:p w14:paraId="621D085E">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401 综合楼实验室通风柜（每个通风柜风量1200m³/h，共3台）采用“上吸式”集气，通过 DN150PP 管道（耐酸碱）汇总至专用废气管道，总风量3000m³/h，风机选用防腐防爆型（PP 材质，功率 5.5kW）。</w:t>
            </w:r>
          </w:p>
          <w:p w14:paraId="6AEC2E36">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2、处理工艺路线</w:t>
            </w:r>
          </w:p>
          <w:p w14:paraId="5D89D2DD">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采用 “酸性气体中和+活性炭吸附”工艺，流程如下：</w:t>
            </w:r>
          </w:p>
          <w:p w14:paraId="2B0FEA5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（1）中和塔：填充碱性填料（氢氧化钠浸泡的陶瓷环，pH 控制 8-9），去除磷酸雾等酸性气体，中和效率≥90%；</w:t>
            </w:r>
          </w:p>
          <w:p w14:paraId="526E16A2">
            <w:pPr>
              <w:pStyle w:val="16"/>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（2）活性炭吸附塔：填充柱状活性炭（碘值≥900mg/g），处理后废气经 18m 高排气筒（内径 300mm，FRP 材质）排放，VOCs 出口浓度≤40mg/m³，满足《大气污染物综合排放标准》GB16297-1996 要求。</w:t>
            </w:r>
          </w:p>
          <w:p w14:paraId="457F0A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rPr>
                <w:rFonts w:hint="default"/>
                <w:b/>
                <w:bCs/>
                <w:color w:val="000000"/>
                <w:sz w:val="24"/>
                <w:szCs w:val="24"/>
                <w:lang w:val="en-US"/>
              </w:rPr>
            </w:pPr>
            <w:r>
              <w:rPr>
                <w:rFonts w:hint="eastAsia" w:ascii="宋体" w:hAnsi="宋体" w:eastAsia="宋体" w:cs="宋体"/>
                <w:b/>
                <w:bCs/>
                <w:color w:val="000000"/>
                <w:kern w:val="2"/>
                <w:sz w:val="24"/>
                <w:szCs w:val="24"/>
                <w:lang w:val="en-US" w:eastAsia="zh-CN" w:bidi="ar"/>
              </w:rPr>
              <w:t>三、无组织废气管控措施</w:t>
            </w:r>
          </w:p>
          <w:p w14:paraId="6CD890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1、车间逸散废气控制</w:t>
            </w:r>
          </w:p>
          <w:p w14:paraId="32E643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（1）源头管控：</w:t>
            </w:r>
          </w:p>
          <w:p w14:paraId="55205E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投料环节：液态原料（如甲苯、丙酮）采用 “密闭泵输送+称重计量”，杜绝人工倾倒；固态原料（如铝粉、QS-102）采用“真空上料机” 输送，投料口设置局部集气罩（风量 500m³/h），连接至有组织废气收集系统。</w:t>
            </w:r>
          </w:p>
          <w:p w14:paraId="588ACC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设备密封：反应釜、储罐法兰采用金属缠绕垫片（耐溶剂型），泵轴密封选用机械密封（双端面，带冲洗系统），定期（每月）检查密封状态，泄漏率控制≤0.001mL/min。</w:t>
            </w:r>
          </w:p>
          <w:p w14:paraId="725DE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（2）车间通风：</w:t>
            </w:r>
          </w:p>
          <w:p w14:paraId="38AD9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102 甲类车间二采用“机械通风+自然通风”结合，设置防爆排风机（每 500㎡1 台，风量15000m³/h），换气次数≥12 次/小时；车间外窗设置可开启式百叶窗，确保空气流通，无组织 VOCs 浓度控制在厂界≤2.0mg/m³（符合 GB16297-1996 中 “无组织排放监控点浓度≤2.0mg/m³” 要求）。</w:t>
            </w:r>
          </w:p>
          <w:p w14:paraId="5F912E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2、危废暂存间及污水处理区废气控制</w:t>
            </w:r>
          </w:p>
          <w:p w14:paraId="7C56E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000000"/>
                <w:sz w:val="24"/>
                <w:szCs w:val="24"/>
                <w:lang w:val="en-US"/>
              </w:rPr>
            </w:pPr>
            <w:r>
              <w:rPr>
                <w:rFonts w:hint="eastAsia" w:ascii="宋体" w:hAnsi="宋体" w:eastAsia="宋体" w:cs="宋体"/>
                <w:color w:val="000000"/>
                <w:kern w:val="2"/>
                <w:sz w:val="24"/>
                <w:szCs w:val="24"/>
                <w:lang w:val="en-US" w:eastAsia="zh-CN" w:bidi="ar"/>
              </w:rPr>
              <w:t>（1）201 甲类仓库一危废暂存间（面积 30㎡）：设置防爆排风机（风量 1000m³/h），换气次数≥6 次/小时，废气经管道接入生产工艺废气处理系统；危废包装（如废活性炭袋）采用密封吨袋，袋口用卡箍固定，减少恶臭及 VOCs 逸散。</w:t>
            </w:r>
          </w:p>
          <w:p w14:paraId="54CBFC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color w:val="auto"/>
              </w:rPr>
            </w:pPr>
            <w:r>
              <w:rPr>
                <w:rFonts w:hint="eastAsia" w:ascii="宋体" w:hAnsi="宋体" w:eastAsia="宋体" w:cs="宋体"/>
                <w:color w:val="000000"/>
                <w:kern w:val="2"/>
                <w:sz w:val="24"/>
                <w:szCs w:val="24"/>
                <w:lang w:val="en-US" w:eastAsia="zh-CN" w:bidi="ar"/>
              </w:rPr>
              <w:t>（2）305 污水处理区：厌氧反应器、生化池采用 “加盖密封 + 生物滤池” 处理，盖板为 FRP 材质，收集的恶臭气体（氨、硫化氢）经生物滤池（填料为火山岩，接种除臭微生物）处理后，通过 15m 高排气筒排放，恶臭浓度≤2000（无量纲），满足《恶臭污染物排放标准》GB14554-93 要求。</w:t>
            </w:r>
          </w:p>
        </w:tc>
      </w:tr>
      <w:tr w14:paraId="1BF15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90" w:hRule="atLeast"/>
          <w:jc w:val="center"/>
        </w:trPr>
        <w:tc>
          <w:tcPr>
            <w:tcW w:w="531" w:type="dxa"/>
            <w:tcBorders>
              <w:tl2br w:val="nil"/>
              <w:tr2bl w:val="nil"/>
            </w:tcBorders>
            <w:shd w:val="clear" w:color="auto" w:fill="FFFFFF"/>
            <w:vAlign w:val="center"/>
          </w:tcPr>
          <w:p w14:paraId="3409B03F">
            <w:pPr>
              <w:keepNext w:val="0"/>
              <w:keepLines w:val="0"/>
              <w:widowControl/>
              <w:suppressLineNumbers w:val="0"/>
              <w:spacing w:before="0" w:beforeAutospacing="0" w:after="150" w:afterAutospacing="0"/>
              <w:ind w:left="0" w:right="0"/>
              <w:jc w:val="center"/>
              <w:rPr>
                <w:rFonts w:hint="default" w:ascii="宋体" w:hAnsi="宋体" w:cs="宋体"/>
                <w:color w:val="auto"/>
                <w:kern w:val="0"/>
                <w:sz w:val="24"/>
                <w:shd w:val="clear" w:color="auto" w:fill="FFFFFF"/>
              </w:rPr>
            </w:pPr>
            <w:r>
              <w:rPr>
                <w:rFonts w:hint="eastAsia" w:ascii="宋体" w:hAnsi="宋体" w:cs="宋体"/>
                <w:color w:val="auto"/>
                <w:kern w:val="0"/>
                <w:sz w:val="24"/>
                <w:shd w:val="clear" w:color="auto" w:fill="FFFFFF"/>
              </w:rPr>
              <w:t>被评价单位信息反馈情况</w:t>
            </w:r>
          </w:p>
        </w:tc>
        <w:tc>
          <w:tcPr>
            <w:tcW w:w="8937" w:type="dxa"/>
            <w:gridSpan w:val="3"/>
            <w:tcBorders>
              <w:tl2br w:val="nil"/>
              <w:tr2bl w:val="nil"/>
            </w:tcBorders>
            <w:shd w:val="clear" w:color="auto" w:fill="FFFFFF"/>
            <w:vAlign w:val="center"/>
          </w:tcPr>
          <w:p w14:paraId="7EFBC9DB">
            <w:pPr>
              <w:keepNext w:val="0"/>
              <w:keepLines w:val="0"/>
              <w:widowControl/>
              <w:suppressLineNumbers w:val="0"/>
              <w:spacing w:before="0" w:beforeAutospacing="0" w:after="150" w:afterAutospacing="0"/>
              <w:ind w:left="0" w:right="0"/>
              <w:jc w:val="center"/>
              <w:rPr>
                <w:rFonts w:hint="default" w:ascii="宋体" w:hAnsi="宋体" w:cs="宋体"/>
                <w:color w:val="auto"/>
                <w:kern w:val="0"/>
                <w:sz w:val="24"/>
                <w:shd w:val="clear" w:color="auto" w:fill="FFFFFF"/>
              </w:rPr>
            </w:pPr>
            <w:r>
              <w:rPr>
                <w:rFonts w:hint="eastAsia" w:ascii="宋体" w:hAnsi="宋体" w:cs="宋体"/>
                <w:color w:val="auto"/>
                <w:kern w:val="0"/>
                <w:sz w:val="24"/>
                <w:shd w:val="clear" w:color="auto" w:fill="FFFFFF"/>
              </w:rPr>
              <w:t>满意</w:t>
            </w:r>
          </w:p>
        </w:tc>
      </w:tr>
    </w:tbl>
    <w:p w14:paraId="5D345BA6">
      <w:pPr>
        <w:rPr>
          <w:rFonts w:hint="eastAsia" w:eastAsia="宋体"/>
          <w:color w:val="auto"/>
          <w:lang w:eastAsia="zh-CN"/>
        </w:rPr>
      </w:pPr>
      <w:r>
        <w:rPr>
          <w:color w:val="auto"/>
        </w:rPr>
        <w:br w:type="page"/>
      </w:r>
    </w:p>
    <w:p w14:paraId="509069EE">
      <w:pPr>
        <w:spacing w:line="360" w:lineRule="auto"/>
        <w:jc w:val="center"/>
        <w:rPr>
          <w:rFonts w:hint="eastAsia" w:eastAsia="宋体"/>
          <w:color w:val="auto"/>
          <w:szCs w:val="28"/>
          <w:lang w:eastAsia="zh-CN"/>
        </w:rPr>
      </w:pPr>
      <w:r>
        <w:rPr>
          <w:rFonts w:hint="eastAsia" w:eastAsia="宋体"/>
          <w:color w:val="auto"/>
          <w:szCs w:val="28"/>
          <w:lang w:eastAsia="zh-CN"/>
        </w:rPr>
        <w:drawing>
          <wp:inline distT="0" distB="0" distL="114300" distR="114300">
            <wp:extent cx="5246370" cy="6995160"/>
            <wp:effectExtent l="0" t="0" r="11430" b="15240"/>
            <wp:docPr id="6" name="图片 6" descr="IMG_20250810_09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810_093445"/>
                    <pic:cNvPicPr>
                      <a:picLocks noChangeAspect="1"/>
                    </pic:cNvPicPr>
                  </pic:nvPicPr>
                  <pic:blipFill>
                    <a:blip r:embed="rId28"/>
                    <a:stretch>
                      <a:fillRect/>
                    </a:stretch>
                  </pic:blipFill>
                  <pic:spPr>
                    <a:xfrm>
                      <a:off x="0" y="0"/>
                      <a:ext cx="5246370" cy="6995160"/>
                    </a:xfrm>
                    <a:prstGeom prst="rect">
                      <a:avLst/>
                    </a:prstGeom>
                  </pic:spPr>
                </pic:pic>
              </a:graphicData>
            </a:graphic>
          </wp:inline>
        </w:drawing>
      </w:r>
    </w:p>
    <w:p w14:paraId="72D16BE6">
      <w:pPr>
        <w:spacing w:line="360" w:lineRule="auto"/>
        <w:jc w:val="center"/>
        <w:rPr>
          <w:rFonts w:hint="eastAsia"/>
          <w:color w:val="auto"/>
          <w:szCs w:val="28"/>
        </w:rPr>
      </w:pPr>
    </w:p>
    <w:p w14:paraId="5B250F11">
      <w:pPr>
        <w:rPr>
          <w:rFonts w:hint="eastAsia"/>
          <w:color w:val="auto"/>
          <w:szCs w:val="28"/>
        </w:rPr>
      </w:pPr>
      <w:r>
        <w:rPr>
          <w:rFonts w:hint="eastAsia"/>
          <w:color w:val="auto"/>
          <w:szCs w:val="28"/>
        </w:rPr>
        <w:br w:type="page"/>
      </w:r>
    </w:p>
    <w:p w14:paraId="25B1B2EF">
      <w:pPr>
        <w:rPr>
          <w:rFonts w:hint="eastAsia" w:eastAsia="宋体"/>
          <w:color w:val="auto"/>
          <w:szCs w:val="28"/>
          <w:lang w:eastAsia="zh-CN"/>
        </w:rPr>
      </w:pPr>
      <w:r>
        <w:rPr>
          <w:rFonts w:hint="eastAsia"/>
          <w:color w:val="auto"/>
          <w:szCs w:val="28"/>
        </w:rPr>
        <w:br w:type="page"/>
      </w:r>
      <w:r>
        <w:rPr>
          <w:rFonts w:hint="eastAsia" w:eastAsia="宋体"/>
          <w:color w:val="auto"/>
          <w:szCs w:val="28"/>
          <w:lang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5246370" cy="6995160"/>
            <wp:effectExtent l="0" t="0" r="11430" b="15240"/>
            <wp:wrapNone/>
            <wp:docPr id="59" name="图片 59" descr="IMG_20250810_09373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50810_093737_1"/>
                    <pic:cNvPicPr>
                      <a:picLocks noChangeAspect="1"/>
                    </pic:cNvPicPr>
                  </pic:nvPicPr>
                  <pic:blipFill>
                    <a:blip r:embed="rId29"/>
                    <a:stretch>
                      <a:fillRect/>
                    </a:stretch>
                  </pic:blipFill>
                  <pic:spPr>
                    <a:xfrm>
                      <a:off x="0" y="0"/>
                      <a:ext cx="5246370" cy="6995160"/>
                    </a:xfrm>
                    <a:prstGeom prst="rect">
                      <a:avLst/>
                    </a:prstGeom>
                  </pic:spPr>
                </pic:pic>
              </a:graphicData>
            </a:graphic>
          </wp:anchor>
        </w:drawing>
      </w:r>
    </w:p>
    <w:p w14:paraId="58D3CBC5">
      <w:pPr>
        <w:rPr>
          <w:rFonts w:hint="eastAsia"/>
          <w:color w:val="auto"/>
          <w:lang w:eastAsia="zh-CN"/>
        </w:rPr>
      </w:pPr>
      <w:r>
        <w:drawing>
          <wp:inline distT="0" distB="0" distL="114300" distR="114300">
            <wp:extent cx="5695315" cy="8230235"/>
            <wp:effectExtent l="0" t="0" r="635" b="1841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30"/>
                    <a:stretch>
                      <a:fillRect/>
                    </a:stretch>
                  </pic:blipFill>
                  <pic:spPr>
                    <a:xfrm>
                      <a:off x="0" y="0"/>
                      <a:ext cx="5695315" cy="8230235"/>
                    </a:xfrm>
                    <a:prstGeom prst="rect">
                      <a:avLst/>
                    </a:prstGeom>
                    <a:noFill/>
                    <a:ln>
                      <a:noFill/>
                    </a:ln>
                  </pic:spPr>
                </pic:pic>
              </a:graphicData>
            </a:graphic>
          </wp:inline>
        </w:drawing>
      </w:r>
    </w:p>
    <w:p w14:paraId="0A2220E2">
      <w:pPr>
        <w:rPr>
          <w:color w:val="auto"/>
        </w:rPr>
        <w:sectPr>
          <w:pgSz w:w="11906" w:h="16838"/>
          <w:pgMar w:top="1440" w:right="1800" w:bottom="1440" w:left="1800" w:header="851" w:footer="992" w:gutter="0"/>
          <w:cols w:space="720" w:num="1"/>
          <w:docGrid w:type="lines" w:linePitch="312" w:charSpace="0"/>
        </w:sectPr>
      </w:pPr>
      <w:r>
        <w:drawing>
          <wp:inline distT="0" distB="0" distL="114300" distR="114300">
            <wp:extent cx="5438140" cy="7833360"/>
            <wp:effectExtent l="0" t="0" r="10160" b="1524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31"/>
                    <a:stretch>
                      <a:fillRect/>
                    </a:stretch>
                  </pic:blipFill>
                  <pic:spPr>
                    <a:xfrm>
                      <a:off x="0" y="0"/>
                      <a:ext cx="5438140" cy="7833360"/>
                    </a:xfrm>
                    <a:prstGeom prst="rect">
                      <a:avLst/>
                    </a:prstGeom>
                    <a:noFill/>
                    <a:ln>
                      <a:noFill/>
                    </a:ln>
                  </pic:spPr>
                </pic:pic>
              </a:graphicData>
            </a:graphic>
          </wp:inline>
        </w:drawing>
      </w:r>
    </w:p>
    <w:p w14:paraId="74E6BE4A">
      <w:pPr>
        <w:rPr>
          <w:rFonts w:hint="eastAsia"/>
          <w:color w:val="auto"/>
          <w:lang w:eastAsia="zh-CN"/>
        </w:rPr>
      </w:pPr>
      <w:r>
        <w:drawing>
          <wp:inline distT="0" distB="0" distL="114300" distR="114300">
            <wp:extent cx="5711825" cy="8089900"/>
            <wp:effectExtent l="0" t="0" r="3175" b="6350"/>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32"/>
                    <a:stretch>
                      <a:fillRect/>
                    </a:stretch>
                  </pic:blipFill>
                  <pic:spPr>
                    <a:xfrm>
                      <a:off x="0" y="0"/>
                      <a:ext cx="5711825" cy="8089900"/>
                    </a:xfrm>
                    <a:prstGeom prst="rect">
                      <a:avLst/>
                    </a:prstGeom>
                    <a:noFill/>
                    <a:ln>
                      <a:noFill/>
                    </a:ln>
                  </pic:spPr>
                </pic:pic>
              </a:graphicData>
            </a:graphic>
          </wp:inline>
        </w:drawing>
      </w:r>
    </w:p>
    <w:p w14:paraId="48489782">
      <w:pPr>
        <w:rPr>
          <w:rFonts w:hint="eastAsia"/>
          <w:color w:val="auto"/>
          <w:lang w:eastAsia="zh-CN"/>
        </w:rPr>
      </w:pPr>
    </w:p>
    <w:p w14:paraId="23F4E520">
      <w:pPr>
        <w:rPr>
          <w:rFonts w:hint="eastAsia"/>
          <w:color w:val="auto"/>
          <w:lang w:eastAsia="zh-CN"/>
        </w:rPr>
      </w:pPr>
      <w:r>
        <w:rPr>
          <w:rFonts w:hint="eastAsia"/>
          <w:color w:val="auto"/>
          <w:lang w:eastAsia="zh-CN"/>
        </w:rPr>
        <w:br w:type="page"/>
      </w:r>
    </w:p>
    <w:p w14:paraId="3063B77D">
      <w:pPr>
        <w:jc w:val="center"/>
        <w:rPr>
          <w:rFonts w:hint="default"/>
          <w:color w:val="auto"/>
          <w:lang w:val="en-US" w:eastAsia="zh-CN"/>
        </w:rPr>
      </w:pPr>
      <w:r>
        <w:drawing>
          <wp:inline distT="0" distB="0" distL="114300" distR="114300">
            <wp:extent cx="5965190" cy="8446135"/>
            <wp:effectExtent l="0" t="0" r="16510" b="12065"/>
            <wp:docPr id="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
                    <pic:cNvPicPr>
                      <a:picLocks noChangeAspect="1"/>
                    </pic:cNvPicPr>
                  </pic:nvPicPr>
                  <pic:blipFill>
                    <a:blip r:embed="rId33"/>
                    <a:stretch>
                      <a:fillRect/>
                    </a:stretch>
                  </pic:blipFill>
                  <pic:spPr>
                    <a:xfrm>
                      <a:off x="0" y="0"/>
                      <a:ext cx="5965190" cy="8446135"/>
                    </a:xfrm>
                    <a:prstGeom prst="rect">
                      <a:avLst/>
                    </a:prstGeom>
                    <a:noFill/>
                    <a:ln>
                      <a:noFill/>
                    </a:ln>
                  </pic:spPr>
                </pic:pic>
              </a:graphicData>
            </a:graphic>
          </wp:inline>
        </w:drawing>
      </w:r>
      <w:r>
        <w:drawing>
          <wp:inline distT="0" distB="0" distL="114300" distR="114300">
            <wp:extent cx="5898515" cy="8402955"/>
            <wp:effectExtent l="0" t="0" r="6985" b="1714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4"/>
                    <a:stretch>
                      <a:fillRect/>
                    </a:stretch>
                  </pic:blipFill>
                  <pic:spPr>
                    <a:xfrm>
                      <a:off x="0" y="0"/>
                      <a:ext cx="5898515" cy="8402955"/>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183855F"/>
    <w:multiLevelType w:val="singleLevel"/>
    <w:tmpl w:val="5183855F"/>
    <w:lvl w:ilvl="0" w:tentative="0">
      <w:start w:val="1"/>
      <w:numFmt w:val="chineseCounting"/>
      <w:pStyle w:val="44"/>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JmYThmZTViOGE1ZWVkN2ZmYjcyMzk1NTlmNjQ2YjIifQ=="/>
    <w:docVar w:name="KSO_WPS_MARK_KEY" w:val="f0c94484-18bf-41d0-a894-232196517eb0"/>
  </w:docVars>
  <w:rsids>
    <w:rsidRoot w:val="00E3751A"/>
    <w:rsid w:val="00047227"/>
    <w:rsid w:val="00303C12"/>
    <w:rsid w:val="003A7C06"/>
    <w:rsid w:val="004340C8"/>
    <w:rsid w:val="004D1AF7"/>
    <w:rsid w:val="005858BE"/>
    <w:rsid w:val="00756850"/>
    <w:rsid w:val="007A2261"/>
    <w:rsid w:val="00802085"/>
    <w:rsid w:val="008F01AE"/>
    <w:rsid w:val="00C75118"/>
    <w:rsid w:val="00C82162"/>
    <w:rsid w:val="00D40559"/>
    <w:rsid w:val="00E3751A"/>
    <w:rsid w:val="00FF47EE"/>
    <w:rsid w:val="01381A2C"/>
    <w:rsid w:val="030516AD"/>
    <w:rsid w:val="03463A74"/>
    <w:rsid w:val="03C37305"/>
    <w:rsid w:val="04334FFF"/>
    <w:rsid w:val="04543719"/>
    <w:rsid w:val="045937F4"/>
    <w:rsid w:val="04664971"/>
    <w:rsid w:val="04714B20"/>
    <w:rsid w:val="04D11406"/>
    <w:rsid w:val="04E23328"/>
    <w:rsid w:val="050505ED"/>
    <w:rsid w:val="06007F0A"/>
    <w:rsid w:val="062E2CC9"/>
    <w:rsid w:val="06EF6353"/>
    <w:rsid w:val="07D32EB9"/>
    <w:rsid w:val="07E46E00"/>
    <w:rsid w:val="0814540D"/>
    <w:rsid w:val="08300409"/>
    <w:rsid w:val="08302FF8"/>
    <w:rsid w:val="08E81855"/>
    <w:rsid w:val="08ED0200"/>
    <w:rsid w:val="096769A3"/>
    <w:rsid w:val="096F1B10"/>
    <w:rsid w:val="09806C85"/>
    <w:rsid w:val="0A0E1339"/>
    <w:rsid w:val="0A173A74"/>
    <w:rsid w:val="0A4F7A65"/>
    <w:rsid w:val="0BC750FD"/>
    <w:rsid w:val="0D073DB5"/>
    <w:rsid w:val="0D081033"/>
    <w:rsid w:val="0E564C35"/>
    <w:rsid w:val="0EC817E1"/>
    <w:rsid w:val="0F1C6141"/>
    <w:rsid w:val="0FFD1618"/>
    <w:rsid w:val="10806817"/>
    <w:rsid w:val="10A546BD"/>
    <w:rsid w:val="10AE1BD9"/>
    <w:rsid w:val="10D96D50"/>
    <w:rsid w:val="125F245C"/>
    <w:rsid w:val="13FA1B12"/>
    <w:rsid w:val="141C622E"/>
    <w:rsid w:val="147F5532"/>
    <w:rsid w:val="156C314D"/>
    <w:rsid w:val="15CB68F5"/>
    <w:rsid w:val="16B10157"/>
    <w:rsid w:val="172B1294"/>
    <w:rsid w:val="17505468"/>
    <w:rsid w:val="17550DB0"/>
    <w:rsid w:val="17810296"/>
    <w:rsid w:val="17C601C4"/>
    <w:rsid w:val="18301429"/>
    <w:rsid w:val="188D103C"/>
    <w:rsid w:val="190E35A0"/>
    <w:rsid w:val="191A70DD"/>
    <w:rsid w:val="19992B53"/>
    <w:rsid w:val="19CE23A1"/>
    <w:rsid w:val="19D014C8"/>
    <w:rsid w:val="19F45335"/>
    <w:rsid w:val="1A4E76A5"/>
    <w:rsid w:val="1ADA1B6B"/>
    <w:rsid w:val="1B63147C"/>
    <w:rsid w:val="1C0D177F"/>
    <w:rsid w:val="1C3244B8"/>
    <w:rsid w:val="1C461987"/>
    <w:rsid w:val="1C4B6410"/>
    <w:rsid w:val="1C67088B"/>
    <w:rsid w:val="1C970306"/>
    <w:rsid w:val="1CD13F56"/>
    <w:rsid w:val="1CD14F1F"/>
    <w:rsid w:val="1CEA3399"/>
    <w:rsid w:val="1DA60EEB"/>
    <w:rsid w:val="1F0F5E71"/>
    <w:rsid w:val="1F142A61"/>
    <w:rsid w:val="1F2A023E"/>
    <w:rsid w:val="1F642D26"/>
    <w:rsid w:val="1FAC2BD1"/>
    <w:rsid w:val="1FF45CE7"/>
    <w:rsid w:val="2107263D"/>
    <w:rsid w:val="214C4107"/>
    <w:rsid w:val="21A13C43"/>
    <w:rsid w:val="220D5A31"/>
    <w:rsid w:val="22366385"/>
    <w:rsid w:val="224031F6"/>
    <w:rsid w:val="2282270A"/>
    <w:rsid w:val="229735F9"/>
    <w:rsid w:val="22AD2D70"/>
    <w:rsid w:val="23532900"/>
    <w:rsid w:val="23B37411"/>
    <w:rsid w:val="242E50EF"/>
    <w:rsid w:val="244E33BB"/>
    <w:rsid w:val="24775815"/>
    <w:rsid w:val="24D12D46"/>
    <w:rsid w:val="25FB3FD9"/>
    <w:rsid w:val="271635D9"/>
    <w:rsid w:val="27280E94"/>
    <w:rsid w:val="27F61196"/>
    <w:rsid w:val="28814447"/>
    <w:rsid w:val="297A3C20"/>
    <w:rsid w:val="298C1931"/>
    <w:rsid w:val="29925FE1"/>
    <w:rsid w:val="29C972C6"/>
    <w:rsid w:val="2AB26CD9"/>
    <w:rsid w:val="2BD9110B"/>
    <w:rsid w:val="2C9D3BC7"/>
    <w:rsid w:val="2CF2686E"/>
    <w:rsid w:val="2E9E272A"/>
    <w:rsid w:val="2EAE6403"/>
    <w:rsid w:val="30BA5A7F"/>
    <w:rsid w:val="31055C5A"/>
    <w:rsid w:val="315D5EF9"/>
    <w:rsid w:val="3256187C"/>
    <w:rsid w:val="3259568C"/>
    <w:rsid w:val="32A66941"/>
    <w:rsid w:val="334B2415"/>
    <w:rsid w:val="339918AA"/>
    <w:rsid w:val="33BD2F62"/>
    <w:rsid w:val="341F407D"/>
    <w:rsid w:val="34BD4A82"/>
    <w:rsid w:val="351530F3"/>
    <w:rsid w:val="35211925"/>
    <w:rsid w:val="35524794"/>
    <w:rsid w:val="36577381"/>
    <w:rsid w:val="366115C7"/>
    <w:rsid w:val="37285AB1"/>
    <w:rsid w:val="375C6F30"/>
    <w:rsid w:val="3781684D"/>
    <w:rsid w:val="3823766B"/>
    <w:rsid w:val="3940109D"/>
    <w:rsid w:val="396748BA"/>
    <w:rsid w:val="3A751F6D"/>
    <w:rsid w:val="3AB6680E"/>
    <w:rsid w:val="3AD61658"/>
    <w:rsid w:val="3ADD7367"/>
    <w:rsid w:val="3AF50232"/>
    <w:rsid w:val="3B251FB8"/>
    <w:rsid w:val="3B3712DA"/>
    <w:rsid w:val="3B622014"/>
    <w:rsid w:val="3C7D28D5"/>
    <w:rsid w:val="3CBE7045"/>
    <w:rsid w:val="3CE43836"/>
    <w:rsid w:val="3D027FC2"/>
    <w:rsid w:val="3D3D4FC4"/>
    <w:rsid w:val="3D4729D1"/>
    <w:rsid w:val="3DEB4A20"/>
    <w:rsid w:val="3E17613C"/>
    <w:rsid w:val="3E2D53F7"/>
    <w:rsid w:val="3EB62D94"/>
    <w:rsid w:val="3EEC7F81"/>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5A91C6B"/>
    <w:rsid w:val="46966FC2"/>
    <w:rsid w:val="47EE36B2"/>
    <w:rsid w:val="485E76F8"/>
    <w:rsid w:val="48AF6D87"/>
    <w:rsid w:val="49CE6C17"/>
    <w:rsid w:val="4CDE060B"/>
    <w:rsid w:val="4E3D5914"/>
    <w:rsid w:val="4E461B89"/>
    <w:rsid w:val="4F4C1097"/>
    <w:rsid w:val="4F540982"/>
    <w:rsid w:val="4F844CD5"/>
    <w:rsid w:val="4FF32FA8"/>
    <w:rsid w:val="50EA0B03"/>
    <w:rsid w:val="512A57AB"/>
    <w:rsid w:val="515A3854"/>
    <w:rsid w:val="5276471A"/>
    <w:rsid w:val="52CC47C0"/>
    <w:rsid w:val="52E07D49"/>
    <w:rsid w:val="5374510A"/>
    <w:rsid w:val="53F5005F"/>
    <w:rsid w:val="563D2137"/>
    <w:rsid w:val="56836AB2"/>
    <w:rsid w:val="56BC2DE3"/>
    <w:rsid w:val="56D42C4D"/>
    <w:rsid w:val="57301D47"/>
    <w:rsid w:val="57487036"/>
    <w:rsid w:val="575D6537"/>
    <w:rsid w:val="57800B40"/>
    <w:rsid w:val="57A95B7C"/>
    <w:rsid w:val="57CD2DFE"/>
    <w:rsid w:val="58244FE5"/>
    <w:rsid w:val="584B13F6"/>
    <w:rsid w:val="59217B49"/>
    <w:rsid w:val="59656964"/>
    <w:rsid w:val="59D926D2"/>
    <w:rsid w:val="5A034680"/>
    <w:rsid w:val="5AA52A54"/>
    <w:rsid w:val="5BC05975"/>
    <w:rsid w:val="5BD743DE"/>
    <w:rsid w:val="5D63281F"/>
    <w:rsid w:val="5D706898"/>
    <w:rsid w:val="5D731EE5"/>
    <w:rsid w:val="5D7C7100"/>
    <w:rsid w:val="5D89238E"/>
    <w:rsid w:val="5D8C28DB"/>
    <w:rsid w:val="5DA30A1C"/>
    <w:rsid w:val="5DD04E4C"/>
    <w:rsid w:val="5E3F6556"/>
    <w:rsid w:val="5E4A7A0E"/>
    <w:rsid w:val="5E8048B9"/>
    <w:rsid w:val="5E8C3C37"/>
    <w:rsid w:val="5EBC6D64"/>
    <w:rsid w:val="5ED03402"/>
    <w:rsid w:val="5F182B4A"/>
    <w:rsid w:val="5F9C68FC"/>
    <w:rsid w:val="5FD163AE"/>
    <w:rsid w:val="60057BEA"/>
    <w:rsid w:val="60B44CEE"/>
    <w:rsid w:val="60B460AF"/>
    <w:rsid w:val="619747AF"/>
    <w:rsid w:val="621C336D"/>
    <w:rsid w:val="62A05F08"/>
    <w:rsid w:val="62EA5BC6"/>
    <w:rsid w:val="630737FB"/>
    <w:rsid w:val="63C25DAA"/>
    <w:rsid w:val="64126CC6"/>
    <w:rsid w:val="648F0582"/>
    <w:rsid w:val="64F540D9"/>
    <w:rsid w:val="6559245A"/>
    <w:rsid w:val="65622F6B"/>
    <w:rsid w:val="658C415A"/>
    <w:rsid w:val="65BD6D5B"/>
    <w:rsid w:val="66C53C4A"/>
    <w:rsid w:val="673B297E"/>
    <w:rsid w:val="678F323C"/>
    <w:rsid w:val="68233EA0"/>
    <w:rsid w:val="68A30209"/>
    <w:rsid w:val="68C86C57"/>
    <w:rsid w:val="6AA57F27"/>
    <w:rsid w:val="6CC37EB5"/>
    <w:rsid w:val="6D1139EB"/>
    <w:rsid w:val="6D3457FF"/>
    <w:rsid w:val="6E2A4841"/>
    <w:rsid w:val="6EEF19E2"/>
    <w:rsid w:val="6F272686"/>
    <w:rsid w:val="6F3D1DEF"/>
    <w:rsid w:val="6F963F3C"/>
    <w:rsid w:val="6FE54B28"/>
    <w:rsid w:val="71276AD1"/>
    <w:rsid w:val="7160445C"/>
    <w:rsid w:val="71697143"/>
    <w:rsid w:val="716C6A50"/>
    <w:rsid w:val="7207397B"/>
    <w:rsid w:val="729E3A33"/>
    <w:rsid w:val="72C43B37"/>
    <w:rsid w:val="737D1DEA"/>
    <w:rsid w:val="748B2EA1"/>
    <w:rsid w:val="74AE0F56"/>
    <w:rsid w:val="76391AC6"/>
    <w:rsid w:val="7672193D"/>
    <w:rsid w:val="770403EE"/>
    <w:rsid w:val="771C50B0"/>
    <w:rsid w:val="771E190D"/>
    <w:rsid w:val="77832F9B"/>
    <w:rsid w:val="77C519A6"/>
    <w:rsid w:val="784004D1"/>
    <w:rsid w:val="78725E9B"/>
    <w:rsid w:val="7877129B"/>
    <w:rsid w:val="79302291"/>
    <w:rsid w:val="797D7F1B"/>
    <w:rsid w:val="798E3ED6"/>
    <w:rsid w:val="79FE7AE0"/>
    <w:rsid w:val="7A083C89"/>
    <w:rsid w:val="7AA15E8B"/>
    <w:rsid w:val="7B424553"/>
    <w:rsid w:val="7BB96559"/>
    <w:rsid w:val="7C304A31"/>
    <w:rsid w:val="7C6520EB"/>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qFormat="1" w:unhideWhenUsed="0" w:uiPriority="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2"/>
    <w:basedOn w:val="4"/>
    <w:next w:val="1"/>
    <w:autoRedefine/>
    <w:qFormat/>
    <w:uiPriority w:val="0"/>
    <w:pPr>
      <w:keepNext/>
      <w:keepLines/>
      <w:snapToGrid w:val="0"/>
      <w:spacing w:beforeLines="50" w:afterLines="50"/>
      <w:outlineLvl w:val="1"/>
    </w:pPr>
    <w:rPr>
      <w:rFonts w:eastAsia="楷体_GB2312" w:cs="MS Gothic"/>
      <w:snapToGrid w:val="0"/>
      <w:kern w:val="0"/>
      <w:sz w:val="32"/>
      <w:szCs w:val="28"/>
    </w:rPr>
  </w:style>
  <w:style w:type="paragraph" w:styleId="4">
    <w:name w:val="heading 3"/>
    <w:basedOn w:val="1"/>
    <w:next w:val="1"/>
    <w:autoRedefine/>
    <w:unhideWhenUsed/>
    <w:qFormat/>
    <w:uiPriority w:val="0"/>
    <w:pPr>
      <w:outlineLvl w:val="2"/>
    </w:pPr>
    <w:rPr>
      <w:rFonts w:asciiTheme="majorHAnsi" w:hAnsiTheme="majorHAnsi" w:eastAsiaTheme="majorEastAsia" w:cstheme="majorBidi"/>
      <w:b/>
      <w:bCs/>
      <w:sz w:val="28"/>
      <w:szCs w:val="32"/>
    </w:rPr>
  </w:style>
  <w:style w:type="paragraph" w:styleId="5">
    <w:name w:val="heading 4"/>
    <w:basedOn w:val="1"/>
    <w:next w:val="1"/>
    <w:link w:val="52"/>
    <w:autoRedefine/>
    <w:unhideWhenUsed/>
    <w:qFormat/>
    <w:uiPriority w:val="0"/>
    <w:pPr>
      <w:keepNext/>
      <w:keepLines/>
      <w:outlineLvl w:val="3"/>
    </w:pPr>
    <w:rPr>
      <w:b/>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Normal Indent"/>
    <w:basedOn w:val="1"/>
    <w:autoRedefine/>
    <w:qFormat/>
    <w:uiPriority w:val="0"/>
    <w:pPr>
      <w:adjustRightInd w:val="0"/>
      <w:spacing w:line="360" w:lineRule="atLeast"/>
      <w:ind w:firstLine="420"/>
      <w:jc w:val="left"/>
      <w:textAlignment w:val="baseline"/>
    </w:pPr>
    <w:rPr>
      <w:rFonts w:eastAsia="仿宋_GB2312"/>
      <w:kern w:val="0"/>
      <w:sz w:val="28"/>
      <w:szCs w:val="20"/>
    </w:rPr>
  </w:style>
  <w:style w:type="paragraph" w:styleId="7">
    <w:name w:val="annotation text"/>
    <w:basedOn w:val="1"/>
    <w:qFormat/>
    <w:uiPriority w:val="0"/>
    <w:pPr>
      <w:jc w:val="left"/>
    </w:pPr>
  </w:style>
  <w:style w:type="paragraph" w:styleId="8">
    <w:name w:val="Body Text"/>
    <w:basedOn w:val="1"/>
    <w:next w:val="1"/>
    <w:link w:val="51"/>
    <w:autoRedefine/>
    <w:qFormat/>
    <w:uiPriority w:val="99"/>
    <w:rPr>
      <w:sz w:val="28"/>
      <w:szCs w:val="28"/>
    </w:rPr>
  </w:style>
  <w:style w:type="paragraph" w:styleId="9">
    <w:name w:val="Body Text Indent"/>
    <w:basedOn w:val="1"/>
    <w:next w:val="8"/>
    <w:link w:val="50"/>
    <w:autoRedefine/>
    <w:unhideWhenUsed/>
    <w:qFormat/>
    <w:uiPriority w:val="99"/>
    <w:pPr>
      <w:spacing w:after="120"/>
      <w:ind w:left="420" w:leftChars="200"/>
    </w:pPr>
  </w:style>
  <w:style w:type="paragraph" w:styleId="10">
    <w:name w:val="toc 5"/>
    <w:basedOn w:val="1"/>
    <w:next w:val="1"/>
    <w:autoRedefine/>
    <w:semiHidden/>
    <w:qFormat/>
    <w:uiPriority w:val="0"/>
    <w:pPr>
      <w:ind w:left="1120"/>
      <w:jc w:val="left"/>
    </w:pPr>
    <w:rPr>
      <w:sz w:val="18"/>
      <w:szCs w:val="18"/>
    </w:rPr>
  </w:style>
  <w:style w:type="paragraph" w:styleId="11">
    <w:name w:val="Plain Text"/>
    <w:basedOn w:val="1"/>
    <w:autoRedefine/>
    <w:qFormat/>
    <w:uiPriority w:val="0"/>
    <w:rPr>
      <w:rFonts w:ascii="宋体" w:hAnsi="Courier New" w:cs="Courier New"/>
      <w:szCs w:val="21"/>
    </w:rPr>
  </w:style>
  <w:style w:type="paragraph" w:styleId="12">
    <w:name w:val="Date"/>
    <w:basedOn w:val="1"/>
    <w:next w:val="1"/>
    <w:link w:val="48"/>
    <w:autoRedefine/>
    <w:qFormat/>
    <w:uiPriority w:val="0"/>
    <w:pPr>
      <w:ind w:left="100" w:leftChars="2500"/>
    </w:pPr>
    <w:rPr>
      <w:rFonts w:ascii="Times New Roman" w:hAnsi="Times New Roman"/>
      <w:b/>
      <w:bCs/>
      <w:sz w:val="28"/>
    </w:rPr>
  </w:style>
  <w:style w:type="paragraph" w:styleId="13">
    <w:name w:val="Body Text Indent 2"/>
    <w:basedOn w:val="1"/>
    <w:autoRedefine/>
    <w:qFormat/>
    <w:uiPriority w:val="0"/>
    <w:pPr>
      <w:ind w:firstLine="538" w:firstLineChars="192"/>
    </w:pPr>
    <w:rPr>
      <w:rFonts w:ascii="宋体" w:hAnsi="宋体"/>
      <w:sz w:val="28"/>
    </w:rPr>
  </w:style>
  <w:style w:type="paragraph" w:styleId="14">
    <w:name w:val="Balloon Text"/>
    <w:basedOn w:val="1"/>
    <w:link w:val="34"/>
    <w:autoRedefine/>
    <w:qFormat/>
    <w:uiPriority w:val="0"/>
    <w:rPr>
      <w:sz w:val="18"/>
      <w:szCs w:val="18"/>
    </w:rPr>
  </w:style>
  <w:style w:type="paragraph" w:styleId="15">
    <w:name w:val="footer"/>
    <w:basedOn w:val="1"/>
    <w:next w:val="16"/>
    <w:autoRedefine/>
    <w:qFormat/>
    <w:uiPriority w:val="99"/>
    <w:pPr>
      <w:tabs>
        <w:tab w:val="center" w:pos="4153"/>
        <w:tab w:val="right" w:pos="8306"/>
      </w:tabs>
      <w:snapToGrid w:val="0"/>
    </w:pPr>
    <w:rPr>
      <w:sz w:val="18"/>
      <w:szCs w:val="18"/>
    </w:rPr>
  </w:style>
  <w:style w:type="paragraph" w:styleId="16">
    <w:name w:val="Normal (Web)"/>
    <w:basedOn w:val="1"/>
    <w:next w:val="17"/>
    <w:autoRedefine/>
    <w:qFormat/>
    <w:uiPriority w:val="0"/>
    <w:pPr>
      <w:spacing w:before="100" w:beforeAutospacing="1" w:after="100" w:afterAutospacing="1"/>
      <w:jc w:val="left"/>
    </w:pPr>
    <w:rPr>
      <w:kern w:val="0"/>
      <w:sz w:val="24"/>
    </w:rPr>
  </w:style>
  <w:style w:type="paragraph" w:customStyle="1" w:styleId="17">
    <w:name w:val="toc 84"/>
    <w:next w:val="1"/>
    <w:autoRedefine/>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qFormat/>
    <w:uiPriority w:val="39"/>
    <w:pPr>
      <w:jc w:val="left"/>
    </w:pPr>
    <w:rPr>
      <w:rFonts w:ascii="宋体"/>
      <w:b/>
      <w:bCs/>
      <w:caps/>
      <w:sz w:val="20"/>
      <w:szCs w:val="20"/>
    </w:rPr>
  </w:style>
  <w:style w:type="paragraph" w:styleId="20">
    <w:name w:val="Body Text Indent 3"/>
    <w:basedOn w:val="1"/>
    <w:autoRedefine/>
    <w:qFormat/>
    <w:uiPriority w:val="0"/>
    <w:pPr>
      <w:ind w:firstLine="630"/>
    </w:pPr>
    <w:rPr>
      <w:rFonts w:ascii="Times New Roman" w:hAnsi="Times New Roman" w:eastAsia="仿宋_GB2312"/>
      <w:sz w:val="28"/>
    </w:rPr>
  </w:style>
  <w:style w:type="paragraph" w:styleId="21">
    <w:name w:val="Body Text First Indent"/>
    <w:basedOn w:val="8"/>
    <w:next w:val="1"/>
    <w:autoRedefine/>
    <w:qFormat/>
    <w:uiPriority w:val="0"/>
    <w:pPr>
      <w:spacing w:after="120"/>
      <w:ind w:firstLine="420" w:firstLineChars="100"/>
    </w:pPr>
  </w:style>
  <w:style w:type="paragraph" w:styleId="22">
    <w:name w:val="Body Text First Indent 2"/>
    <w:basedOn w:val="9"/>
    <w:next w:val="1"/>
    <w:link w:val="49"/>
    <w:autoRedefine/>
    <w:unhideWhenUsed/>
    <w:qFormat/>
    <w:uiPriority w:val="99"/>
    <w:pPr>
      <w:keepNext w:val="0"/>
      <w:keepLines w:val="0"/>
      <w:widowControl/>
      <w:suppressLineNumbers w:val="0"/>
      <w:spacing w:before="0" w:beforeAutospacing="0" w:after="120" w:afterAutospacing="0" w:line="360" w:lineRule="auto"/>
      <w:ind w:left="420" w:leftChars="200" w:right="0" w:firstLine="420" w:firstLineChars="200"/>
      <w:jc w:val="left"/>
    </w:pPr>
    <w:rPr>
      <w:rFonts w:hint="eastAsia" w:ascii="仿宋_GB2312" w:hAnsi="华文仿宋" w:eastAsia="仿宋_GB2312" w:cs="宋体"/>
      <w:color w:val="000000"/>
      <w:kern w:val="2"/>
      <w:sz w:val="24"/>
      <w:szCs w:val="20"/>
      <w:lang w:val="en-US" w:eastAsia="zh-CN" w:bidi="ar"/>
    </w:rPr>
  </w:style>
  <w:style w:type="character" w:styleId="25">
    <w:name w:val="annotation reference"/>
    <w:qFormat/>
    <w:uiPriority w:val="0"/>
    <w:rPr>
      <w:sz w:val="21"/>
      <w:szCs w:val="21"/>
    </w:rPr>
  </w:style>
  <w:style w:type="paragraph" w:customStyle="1" w:styleId="26">
    <w:name w:val="Default"/>
    <w:basedOn w:val="27"/>
    <w:next w:val="22"/>
    <w:autoRedefine/>
    <w:qFormat/>
    <w:uiPriority w:val="0"/>
    <w:pPr>
      <w:autoSpaceDE w:val="0"/>
      <w:autoSpaceDN w:val="0"/>
    </w:pPr>
    <w:rPr>
      <w:rFonts w:hint="eastAsia" w:ascii="宋体"/>
      <w:sz w:val="24"/>
    </w:rPr>
  </w:style>
  <w:style w:type="paragraph" w:customStyle="1" w:styleId="27">
    <w:name w:val="批注文字1"/>
    <w:autoRedefine/>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28">
    <w:name w:val="正文2"/>
    <w:basedOn w:val="1"/>
    <w:autoRedefine/>
    <w:qFormat/>
    <w:uiPriority w:val="0"/>
    <w:pPr>
      <w:spacing w:line="440" w:lineRule="atLeast"/>
      <w:ind w:firstLine="567"/>
    </w:pPr>
    <w:rPr>
      <w:sz w:val="24"/>
      <w:szCs w:val="20"/>
    </w:rPr>
  </w:style>
  <w:style w:type="paragraph" w:customStyle="1" w:styleId="29">
    <w:name w:val="样式 首行缩进:  2 字符"/>
    <w:basedOn w:val="1"/>
    <w:next w:val="1"/>
    <w:autoRedefine/>
    <w:qFormat/>
    <w:uiPriority w:val="0"/>
    <w:pPr>
      <w:widowControl/>
      <w:tabs>
        <w:tab w:val="left" w:pos="0"/>
      </w:tabs>
      <w:spacing w:line="560" w:lineRule="exact"/>
      <w:ind w:firstLine="560" w:firstLineChars="200"/>
      <w:jc w:val="left"/>
    </w:pPr>
    <w:rPr>
      <w:rFonts w:ascii="宋体" w:hAnsi="宋体" w:eastAsia="仿宋_GB2312" w:cs="宋体"/>
      <w:spacing w:val="12"/>
      <w:kern w:val="0"/>
      <w:sz w:val="28"/>
      <w:szCs w:val="20"/>
    </w:rPr>
  </w:style>
  <w:style w:type="paragraph" w:customStyle="1" w:styleId="30">
    <w:name w:val="li_正文"/>
    <w:basedOn w:val="1"/>
    <w:autoRedefine/>
    <w:qFormat/>
    <w:uiPriority w:val="0"/>
    <w:pPr>
      <w:topLinePunct/>
      <w:adjustRightInd w:val="0"/>
      <w:snapToGrid w:val="0"/>
      <w:spacing w:line="360" w:lineRule="auto"/>
      <w:ind w:firstLine="700" w:firstLineChars="250"/>
    </w:pPr>
    <w:rPr>
      <w:rFonts w:ascii="宋体" w:hAnsi="宋体"/>
      <w:sz w:val="28"/>
      <w:szCs w:val="28"/>
    </w:rPr>
  </w:style>
  <w:style w:type="paragraph" w:customStyle="1" w:styleId="31">
    <w:name w:val="样式 标题 2"/>
    <w:basedOn w:val="3"/>
    <w:autoRedefine/>
    <w:qFormat/>
    <w:uiPriority w:val="0"/>
    <w:pPr>
      <w:spacing w:beforeLines="0" w:afterLines="0"/>
    </w:pPr>
    <w:rPr>
      <w:rFonts w:ascii="Arial" w:hAnsi="Arial" w:eastAsia="宋体" w:cs="宋体"/>
      <w:snapToGrid/>
      <w:kern w:val="2"/>
      <w:szCs w:val="32"/>
      <w:lang w:val="zh-CN"/>
    </w:rPr>
  </w:style>
  <w:style w:type="paragraph" w:customStyle="1" w:styleId="32">
    <w:name w:val="样式 10 磅"/>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p0"/>
    <w:basedOn w:val="1"/>
    <w:autoRedefine/>
    <w:qFormat/>
    <w:uiPriority w:val="0"/>
    <w:pPr>
      <w:widowControl/>
    </w:pPr>
    <w:rPr>
      <w:kern w:val="0"/>
      <w:szCs w:val="21"/>
    </w:rPr>
  </w:style>
  <w:style w:type="character" w:customStyle="1" w:styleId="34">
    <w:name w:val="批注框文本 字符"/>
    <w:basedOn w:val="24"/>
    <w:link w:val="14"/>
    <w:autoRedefine/>
    <w:qFormat/>
    <w:uiPriority w:val="0"/>
    <w:rPr>
      <w:rFonts w:ascii="Calibri" w:hAnsi="Calibri"/>
      <w:kern w:val="2"/>
      <w:sz w:val="18"/>
      <w:szCs w:val="18"/>
    </w:rPr>
  </w:style>
  <w:style w:type="paragraph" w:customStyle="1" w:styleId="35">
    <w:name w:val="111"/>
    <w:basedOn w:val="1"/>
    <w:autoRedefine/>
    <w:qFormat/>
    <w:uiPriority w:val="99"/>
    <w:pPr>
      <w:widowControl/>
      <w:tabs>
        <w:tab w:val="left" w:pos="0"/>
      </w:tabs>
      <w:spacing w:before="100" w:beforeAutospacing="1" w:after="100" w:afterAutospacing="1"/>
      <w:jc w:val="left"/>
    </w:pPr>
    <w:rPr>
      <w:rFonts w:ascii="宋体" w:hAnsi="宋体" w:cs="宋体"/>
      <w:kern w:val="0"/>
      <w:sz w:val="24"/>
    </w:rPr>
  </w:style>
  <w:style w:type="character" w:customStyle="1" w:styleId="36">
    <w:name w:val="表头 Char Char Char"/>
    <w:basedOn w:val="24"/>
    <w:autoRedefine/>
    <w:qFormat/>
    <w:uiPriority w:val="0"/>
    <w:rPr>
      <w:rFonts w:ascii="宋体" w:hAnsi="Tahoma" w:eastAsia="宋体"/>
      <w:snapToGrid w:val="0"/>
      <w:spacing w:val="6"/>
      <w:kern w:val="10"/>
      <w:sz w:val="24"/>
    </w:rPr>
  </w:style>
  <w:style w:type="paragraph" w:customStyle="1" w:styleId="37">
    <w:name w:val="表格居中"/>
    <w:basedOn w:val="38"/>
    <w:autoRedefine/>
    <w:qFormat/>
    <w:uiPriority w:val="0"/>
    <w:pPr>
      <w:jc w:val="center"/>
    </w:pPr>
  </w:style>
  <w:style w:type="paragraph" w:customStyle="1" w:styleId="38">
    <w:name w:val="表格一"/>
    <w:basedOn w:val="1"/>
    <w:autoRedefine/>
    <w:qFormat/>
    <w:uiPriority w:val="0"/>
    <w:pPr>
      <w:autoSpaceDE w:val="0"/>
      <w:autoSpaceDN w:val="0"/>
      <w:adjustRightInd w:val="0"/>
      <w:snapToGrid w:val="0"/>
      <w:spacing w:line="240" w:lineRule="atLeast"/>
      <w:jc w:val="left"/>
    </w:pPr>
    <w:rPr>
      <w:rFonts w:hAnsi="宋体"/>
      <w:color w:val="000000"/>
      <w:kern w:val="1"/>
      <w:szCs w:val="21"/>
    </w:rPr>
  </w:style>
  <w:style w:type="paragraph" w:customStyle="1" w:styleId="39">
    <w:name w:val="伟灿工贸-表格文字"/>
    <w:basedOn w:val="1"/>
    <w:autoRedefine/>
    <w:qFormat/>
    <w:uiPriority w:val="0"/>
    <w:pPr>
      <w:jc w:val="center"/>
    </w:pPr>
    <w:rPr>
      <w:rFonts w:hint="eastAsia" w:ascii="宋体" w:hAnsi="宋体" w:cs="宋体"/>
      <w:szCs w:val="21"/>
    </w:rPr>
  </w:style>
  <w:style w:type="paragraph" w:customStyle="1" w:styleId="40">
    <w:name w:val="QQ表正文"/>
    <w:basedOn w:val="1"/>
    <w:autoRedefine/>
    <w:qFormat/>
    <w:uiPriority w:val="0"/>
    <w:pPr>
      <w:widowControl/>
      <w:snapToGrid w:val="0"/>
      <w:spacing w:after="120" w:line="520" w:lineRule="exact"/>
      <w:ind w:firstLine="480" w:firstLineChars="200"/>
    </w:pPr>
    <w:rPr>
      <w:rFonts w:ascii="Times New Roman" w:hAnsiTheme="minorHAnsi" w:eastAsiaTheme="minorEastAsia" w:cstheme="minorBidi"/>
      <w:kern w:val="0"/>
      <w:sz w:val="28"/>
      <w:szCs w:val="21"/>
    </w:rPr>
  </w:style>
  <w:style w:type="paragraph" w:customStyle="1" w:styleId="41">
    <w:name w:val="表名、图名"/>
    <w:basedOn w:val="1"/>
    <w:next w:val="1"/>
    <w:autoRedefine/>
    <w:qFormat/>
    <w:uiPriority w:val="0"/>
    <w:pPr>
      <w:jc w:val="center"/>
    </w:pPr>
    <w:rPr>
      <w:b/>
      <w:bCs/>
    </w:rPr>
  </w:style>
  <w:style w:type="paragraph" w:customStyle="1" w:styleId="42">
    <w:name w:val="标题 三"/>
    <w:basedOn w:val="1"/>
    <w:autoRedefine/>
    <w:qFormat/>
    <w:uiPriority w:val="0"/>
    <w:pPr>
      <w:tabs>
        <w:tab w:val="left" w:pos="3544"/>
      </w:tabs>
      <w:snapToGrid w:val="0"/>
      <w:spacing w:line="360" w:lineRule="auto"/>
      <w:outlineLvl w:val="2"/>
    </w:pPr>
    <w:rPr>
      <w:rFonts w:ascii="宋体" w:hAnsi="宋体"/>
      <w:b/>
      <w:bCs/>
      <w:sz w:val="28"/>
      <w:szCs w:val="28"/>
    </w:rPr>
  </w:style>
  <w:style w:type="paragraph" w:customStyle="1" w:styleId="43">
    <w:name w:val="ENFI正文"/>
    <w:basedOn w:val="1"/>
    <w:autoRedefine/>
    <w:qFormat/>
    <w:uiPriority w:val="0"/>
    <w:pPr>
      <w:adjustRightInd w:val="0"/>
      <w:snapToGrid w:val="0"/>
      <w:ind w:firstLine="567"/>
    </w:pPr>
    <w:rPr>
      <w:rFonts w:eastAsia="仿宋_GB2312"/>
      <w:snapToGrid w:val="0"/>
      <w:color w:val="000000"/>
      <w:kern w:val="0"/>
      <w:sz w:val="28"/>
    </w:rPr>
  </w:style>
  <w:style w:type="paragraph" w:customStyle="1" w:styleId="44">
    <w:name w:val="工艺序号"/>
    <w:basedOn w:val="1"/>
    <w:autoRedefine/>
    <w:qFormat/>
    <w:uiPriority w:val="0"/>
    <w:pPr>
      <w:numPr>
        <w:ilvl w:val="0"/>
        <w:numId w:val="1"/>
      </w:numPr>
    </w:pPr>
    <w:rPr>
      <w:b/>
      <w:bCs/>
    </w:rPr>
  </w:style>
  <w:style w:type="paragraph" w:customStyle="1" w:styleId="45">
    <w:name w:val="伟灿-表格文字"/>
    <w:basedOn w:val="1"/>
    <w:autoRedefine/>
    <w:qFormat/>
    <w:uiPriority w:val="0"/>
    <w:pPr>
      <w:jc w:val="center"/>
    </w:pPr>
    <w:rPr>
      <w:rFonts w:hint="eastAsia" w:ascii="宋体" w:hAnsi="宋体" w:cs="宋体"/>
      <w:szCs w:val="21"/>
    </w:rPr>
  </w:style>
  <w:style w:type="paragraph" w:styleId="46">
    <w:name w:val="List Paragraph"/>
    <w:basedOn w:val="1"/>
    <w:autoRedefine/>
    <w:qFormat/>
    <w:uiPriority w:val="99"/>
    <w:pPr>
      <w:ind w:firstLine="420" w:firstLineChars="200"/>
    </w:pPr>
  </w:style>
  <w:style w:type="paragraph" w:customStyle="1" w:styleId="47">
    <w:name w:val="表格1（标题）"/>
    <w:basedOn w:val="1"/>
    <w:autoRedefine/>
    <w:qFormat/>
    <w:uiPriority w:val="0"/>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48">
    <w:name w:val="日期 字符"/>
    <w:basedOn w:val="24"/>
    <w:link w:val="12"/>
    <w:autoRedefine/>
    <w:qFormat/>
    <w:uiPriority w:val="0"/>
    <w:rPr>
      <w:b/>
      <w:bCs/>
      <w:kern w:val="2"/>
      <w:sz w:val="28"/>
      <w:szCs w:val="24"/>
    </w:rPr>
  </w:style>
  <w:style w:type="character" w:customStyle="1" w:styleId="49">
    <w:name w:val="正文文本首行缩进 2 字符"/>
    <w:basedOn w:val="50"/>
    <w:link w:val="22"/>
    <w:uiPriority w:val="0"/>
    <w:rPr>
      <w:rFonts w:hint="eastAsia" w:ascii="仿宋_GB2312" w:hAnsi="华文仿宋" w:eastAsia="仿宋_GB2312" w:cs="宋体"/>
      <w:color w:val="000000"/>
      <w:kern w:val="2"/>
      <w:sz w:val="24"/>
      <w:szCs w:val="22"/>
      <w:lang w:val="zh-CN"/>
    </w:rPr>
  </w:style>
  <w:style w:type="character" w:customStyle="1" w:styleId="50">
    <w:name w:val="正文文本缩进 字符"/>
    <w:basedOn w:val="24"/>
    <w:link w:val="9"/>
    <w:uiPriority w:val="0"/>
    <w:rPr>
      <w:rFonts w:hint="eastAsia" w:ascii="宋体" w:hAnsi="宋体" w:eastAsia="宋体" w:cs="宋体"/>
      <w:kern w:val="2"/>
      <w:sz w:val="28"/>
      <w:szCs w:val="22"/>
    </w:rPr>
  </w:style>
  <w:style w:type="character" w:customStyle="1" w:styleId="51">
    <w:name w:val="正文文本 字符"/>
    <w:basedOn w:val="24"/>
    <w:link w:val="8"/>
    <w:uiPriority w:val="0"/>
    <w:rPr>
      <w:rFonts w:hint="eastAsia" w:ascii="宋体" w:hAnsi="宋体" w:eastAsia="宋体" w:cs="宋体"/>
      <w:kern w:val="2"/>
      <w:sz w:val="28"/>
      <w:szCs w:val="22"/>
    </w:rPr>
  </w:style>
  <w:style w:type="character" w:customStyle="1" w:styleId="52">
    <w:name w:val="标题 4 字符"/>
    <w:basedOn w:val="24"/>
    <w:link w:val="5"/>
    <w:uiPriority w:val="0"/>
    <w:rPr>
      <w:rFonts w:hint="default" w:ascii="Arial" w:hAnsi="Arial" w:eastAsia="黑体" w:cs="宋体"/>
      <w:b/>
      <w:bCs/>
      <w:sz w:val="28"/>
      <w:szCs w:val="28"/>
      <w:lang w:val="zh-CN"/>
    </w:rPr>
  </w:style>
  <w:style w:type="character" w:customStyle="1" w:styleId="53">
    <w:name w:val="正文文本 字符1"/>
    <w:basedOn w:val="24"/>
    <w:uiPriority w:val="0"/>
    <w:rPr>
      <w:rFonts w:hint="default" w:ascii="Calibri" w:hAnsi="Calibri" w:eastAsia="宋体" w:cs="Times New Roman"/>
    </w:rPr>
  </w:style>
  <w:style w:type="character" w:customStyle="1" w:styleId="54">
    <w:name w:val="正文文本首行缩进 字符"/>
    <w:basedOn w:val="51"/>
    <w:uiPriority w:val="0"/>
    <w:rPr>
      <w:rFonts w:hint="eastAsia" w:ascii="宋体" w:hAnsi="宋体" w:eastAsia="宋体" w:cs="宋体"/>
      <w:kern w:val="2"/>
      <w:sz w:val="28"/>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Lenovo</Company>
  <Pages>23</Pages>
  <Words>6032</Words>
  <Characters>7446</Characters>
  <Lines>8</Lines>
  <Paragraphs>2</Paragraphs>
  <TotalTime>0</TotalTime>
  <ScaleCrop>false</ScaleCrop>
  <LinksUpToDate>false</LinksUpToDate>
  <CharactersWithSpaces>7561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2025-10-24T01:32:03Z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8F656672876344FFAC0A9648B45E2682_13</vt:lpwstr>
  </property>
  <property fmtid="{D5CDD505-2E9C-101B-9397-08002B2CF9AE}" pid="4" name="KSOTemplateDocerSaveRecord">
    <vt:lpwstr>eyJoZGlkIjoiNDgzMjdiZTZhYWEwMDUyMzMwMzdhZWM2ZmNjMGMzMDkiLCJ1c2VySWQiOiI1NzcyNjAwMzgifQ==</vt:lpwstr>
  </property>
</Properties>
</file>