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7B5C6F">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14:paraId="546C3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3422C27E">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14:paraId="1E895C44">
            <w:pPr>
              <w:widowControl/>
              <w:spacing w:after="150"/>
              <w:jc w:val="center"/>
              <w:rPr>
                <w:rFonts w:ascii="宋体" w:hAnsi="宋体" w:cs="宋体"/>
                <w:sz w:val="24"/>
              </w:rPr>
            </w:pPr>
            <w:r>
              <w:rPr>
                <w:rFonts w:hint="eastAsia" w:ascii="宋体" w:hAnsi="宋体"/>
                <w:sz w:val="24"/>
                <w:szCs w:val="22"/>
              </w:rPr>
              <w:t>华润三九（南昌）药业有限公司原辅料库改化药液体生产线项目安全验收评价报告</w:t>
            </w:r>
          </w:p>
        </w:tc>
      </w:tr>
      <w:tr w14:paraId="43E0D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38189EF8">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14:paraId="507179A9">
            <w:pPr>
              <w:widowControl/>
              <w:spacing w:after="150"/>
              <w:jc w:val="center"/>
              <w:rPr>
                <w:rFonts w:ascii="宋体" w:hAnsi="宋体" w:cs="宋体"/>
                <w:sz w:val="24"/>
              </w:rPr>
            </w:pPr>
            <w:r>
              <w:rPr>
                <w:rFonts w:hint="eastAsia" w:ascii="宋体" w:hAnsi="宋体" w:cs="宋体"/>
                <w:sz w:val="24"/>
              </w:rPr>
              <w:t>202</w:t>
            </w:r>
            <w:r>
              <w:rPr>
                <w:rFonts w:ascii="宋体" w:hAnsi="宋体" w:cs="宋体"/>
                <w:sz w:val="24"/>
              </w:rPr>
              <w:t>5</w:t>
            </w:r>
            <w:r>
              <w:rPr>
                <w:rFonts w:hint="eastAsia" w:ascii="宋体" w:hAnsi="宋体" w:cs="宋体"/>
                <w:sz w:val="24"/>
              </w:rPr>
              <w:t>年</w:t>
            </w:r>
            <w:r>
              <w:rPr>
                <w:rFonts w:ascii="宋体" w:hAnsi="宋体" w:cs="宋体"/>
                <w:sz w:val="24"/>
              </w:rPr>
              <w:t>9</w:t>
            </w:r>
            <w:r>
              <w:rPr>
                <w:rFonts w:hint="eastAsia" w:ascii="宋体" w:hAnsi="宋体" w:cs="宋体"/>
                <w:sz w:val="24"/>
              </w:rPr>
              <w:t>月</w:t>
            </w:r>
          </w:p>
        </w:tc>
      </w:tr>
      <w:tr w14:paraId="28BB8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402324E1">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4EF03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773E17DF">
            <w:pPr>
              <w:jc w:val="center"/>
              <w:rPr>
                <w:rFonts w:ascii="宋体" w:hAnsi="宋体" w:cs="宋体"/>
                <w:sz w:val="24"/>
              </w:rPr>
            </w:pPr>
          </w:p>
        </w:tc>
        <w:tc>
          <w:tcPr>
            <w:tcW w:w="1237" w:type="dxa"/>
            <w:tcBorders>
              <w:tl2br w:val="nil"/>
              <w:tr2bl w:val="nil"/>
            </w:tcBorders>
            <w:shd w:val="clear" w:color="auto" w:fill="FFFFFF"/>
            <w:vAlign w:val="center"/>
          </w:tcPr>
          <w:p w14:paraId="2546699C">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14:paraId="074D644C">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202C8FA4">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5F9F6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14:paraId="64813F51">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14:paraId="65A4DFB6">
            <w:pPr>
              <w:jc w:val="center"/>
              <w:rPr>
                <w:rFonts w:ascii="宋体" w:hAnsi="宋体" w:cs="宋体"/>
                <w:sz w:val="24"/>
              </w:rPr>
            </w:pPr>
            <w:r>
              <w:rPr>
                <w:rFonts w:hint="eastAsia" w:ascii="宋体" w:hAnsi="宋体" w:cs="宋体"/>
                <w:sz w:val="24"/>
              </w:rPr>
              <w:t>徐顺星</w:t>
            </w:r>
          </w:p>
        </w:tc>
        <w:tc>
          <w:tcPr>
            <w:tcW w:w="4803" w:type="dxa"/>
            <w:tcBorders>
              <w:tl2br w:val="nil"/>
              <w:tr2bl w:val="nil"/>
            </w:tcBorders>
            <w:shd w:val="clear" w:color="auto" w:fill="FFFFFF"/>
            <w:vAlign w:val="center"/>
          </w:tcPr>
          <w:p w14:paraId="273CEF95">
            <w:pPr>
              <w:jc w:val="center"/>
              <w:rPr>
                <w:rFonts w:ascii="宋体" w:hAnsi="宋体" w:cs="宋体"/>
                <w:sz w:val="24"/>
              </w:rPr>
            </w:pPr>
            <w:r>
              <w:rPr>
                <w:rFonts w:hint="eastAsia" w:ascii="宋体" w:hAnsi="宋体" w:cs="宋体"/>
                <w:sz w:val="24"/>
              </w:rPr>
              <w:t>S011041000110192002229</w:t>
            </w:r>
          </w:p>
        </w:tc>
        <w:tc>
          <w:tcPr>
            <w:tcW w:w="2115" w:type="dxa"/>
            <w:tcBorders>
              <w:tl2br w:val="nil"/>
              <w:tr2bl w:val="nil"/>
            </w:tcBorders>
            <w:shd w:val="clear" w:color="auto" w:fill="FFFFFF"/>
            <w:vAlign w:val="center"/>
          </w:tcPr>
          <w:p w14:paraId="3FB8824D">
            <w:pPr>
              <w:widowControl/>
              <w:jc w:val="center"/>
              <w:rPr>
                <w:rFonts w:ascii="宋体" w:hAnsi="宋体" w:cs="宋体"/>
                <w:sz w:val="24"/>
              </w:rPr>
            </w:pPr>
            <w:r>
              <w:rPr>
                <w:rFonts w:hint="eastAsia" w:ascii="宋体" w:hAnsi="宋体" w:cs="宋体"/>
                <w:sz w:val="24"/>
              </w:rPr>
              <w:t>018803</w:t>
            </w:r>
          </w:p>
        </w:tc>
      </w:tr>
      <w:tr w14:paraId="40B16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14:paraId="4E276C16">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14:paraId="44D89009">
            <w:pPr>
              <w:jc w:val="center"/>
              <w:rPr>
                <w:rFonts w:ascii="宋体" w:hAnsi="宋体" w:cs="宋体"/>
                <w:sz w:val="24"/>
              </w:rPr>
            </w:pPr>
            <w:r>
              <w:rPr>
                <w:rFonts w:hint="eastAsia" w:ascii="宋体" w:hAnsi="宋体" w:cs="宋体"/>
                <w:sz w:val="24"/>
              </w:rPr>
              <w:t>乔贯德</w:t>
            </w:r>
          </w:p>
        </w:tc>
        <w:tc>
          <w:tcPr>
            <w:tcW w:w="4803" w:type="dxa"/>
            <w:tcBorders>
              <w:tl2br w:val="nil"/>
              <w:tr2bl w:val="nil"/>
            </w:tcBorders>
            <w:shd w:val="clear" w:color="auto" w:fill="FFFFFF"/>
            <w:vAlign w:val="center"/>
          </w:tcPr>
          <w:p w14:paraId="61550B89">
            <w:pPr>
              <w:jc w:val="center"/>
              <w:rPr>
                <w:rFonts w:ascii="宋体" w:hAnsi="宋体" w:cs="宋体"/>
                <w:sz w:val="24"/>
              </w:rPr>
            </w:pPr>
            <w:r>
              <w:rPr>
                <w:rFonts w:hint="eastAsia" w:ascii="宋体" w:hAnsi="宋体" w:cs="宋体"/>
                <w:sz w:val="24"/>
              </w:rPr>
              <w:t>1700000000300087</w:t>
            </w:r>
          </w:p>
        </w:tc>
        <w:tc>
          <w:tcPr>
            <w:tcW w:w="2115" w:type="dxa"/>
            <w:tcBorders>
              <w:tl2br w:val="nil"/>
              <w:tr2bl w:val="nil"/>
            </w:tcBorders>
            <w:shd w:val="clear" w:color="auto" w:fill="FFFFFF"/>
            <w:vAlign w:val="center"/>
          </w:tcPr>
          <w:p w14:paraId="7BAE8033">
            <w:pPr>
              <w:jc w:val="center"/>
              <w:rPr>
                <w:rFonts w:ascii="宋体" w:hAnsi="宋体" w:cs="宋体"/>
                <w:sz w:val="24"/>
              </w:rPr>
            </w:pPr>
            <w:r>
              <w:rPr>
                <w:rFonts w:hint="eastAsia" w:ascii="宋体" w:hAnsi="宋体" w:cs="宋体"/>
                <w:sz w:val="24"/>
              </w:rPr>
              <w:t>030797</w:t>
            </w:r>
          </w:p>
        </w:tc>
      </w:tr>
      <w:tr w14:paraId="1B354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F877802">
            <w:pPr>
              <w:jc w:val="center"/>
              <w:rPr>
                <w:rFonts w:ascii="宋体" w:hAnsi="宋体" w:cs="宋体"/>
                <w:sz w:val="24"/>
              </w:rPr>
            </w:pPr>
          </w:p>
        </w:tc>
        <w:tc>
          <w:tcPr>
            <w:tcW w:w="1237" w:type="dxa"/>
            <w:tcBorders>
              <w:tl2br w:val="nil"/>
              <w:tr2bl w:val="nil"/>
            </w:tcBorders>
            <w:shd w:val="clear" w:color="auto" w:fill="FFFFFF"/>
            <w:vAlign w:val="center"/>
          </w:tcPr>
          <w:p w14:paraId="0DC597EE">
            <w:pPr>
              <w:jc w:val="center"/>
              <w:rPr>
                <w:rFonts w:ascii="宋体" w:hAnsi="宋体" w:cs="宋体"/>
                <w:sz w:val="24"/>
              </w:rPr>
            </w:pPr>
            <w:r>
              <w:rPr>
                <w:rFonts w:hint="eastAsia" w:ascii="宋体" w:hAnsi="宋体" w:cs="宋体"/>
                <w:sz w:val="24"/>
              </w:rPr>
              <w:t>舒斌</w:t>
            </w:r>
          </w:p>
        </w:tc>
        <w:tc>
          <w:tcPr>
            <w:tcW w:w="4803" w:type="dxa"/>
            <w:tcBorders>
              <w:tl2br w:val="nil"/>
              <w:tr2bl w:val="nil"/>
            </w:tcBorders>
            <w:shd w:val="clear" w:color="auto" w:fill="FFFFFF"/>
            <w:vAlign w:val="center"/>
          </w:tcPr>
          <w:p w14:paraId="237E67FE">
            <w:pPr>
              <w:jc w:val="center"/>
              <w:rPr>
                <w:rFonts w:ascii="宋体" w:hAnsi="宋体" w:cs="宋体"/>
                <w:sz w:val="24"/>
              </w:rPr>
            </w:pPr>
            <w:r>
              <w:rPr>
                <w:rFonts w:hint="eastAsia" w:ascii="宋体" w:hAnsi="宋体" w:cs="宋体"/>
                <w:sz w:val="24"/>
              </w:rPr>
              <w:t>0800000000205889</w:t>
            </w:r>
          </w:p>
        </w:tc>
        <w:tc>
          <w:tcPr>
            <w:tcW w:w="2115" w:type="dxa"/>
            <w:tcBorders>
              <w:tl2br w:val="nil"/>
              <w:tr2bl w:val="nil"/>
            </w:tcBorders>
            <w:shd w:val="clear" w:color="auto" w:fill="FFFFFF"/>
            <w:vAlign w:val="center"/>
          </w:tcPr>
          <w:p w14:paraId="0F05AFD7">
            <w:pPr>
              <w:jc w:val="center"/>
              <w:rPr>
                <w:rFonts w:ascii="宋体" w:hAnsi="宋体" w:cs="宋体"/>
                <w:sz w:val="24"/>
              </w:rPr>
            </w:pPr>
            <w:r>
              <w:rPr>
                <w:rFonts w:hint="eastAsia" w:ascii="宋体" w:hAnsi="宋体" w:cs="宋体"/>
                <w:sz w:val="24"/>
              </w:rPr>
              <w:t>013031</w:t>
            </w:r>
          </w:p>
        </w:tc>
      </w:tr>
      <w:tr w14:paraId="55472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05E1BC85">
            <w:pPr>
              <w:jc w:val="center"/>
              <w:rPr>
                <w:rFonts w:ascii="宋体" w:hAnsi="宋体" w:cs="宋体"/>
                <w:sz w:val="24"/>
              </w:rPr>
            </w:pPr>
          </w:p>
        </w:tc>
        <w:tc>
          <w:tcPr>
            <w:tcW w:w="1237" w:type="dxa"/>
            <w:tcBorders>
              <w:tl2br w:val="nil"/>
              <w:tr2bl w:val="nil"/>
            </w:tcBorders>
            <w:shd w:val="clear" w:color="auto" w:fill="FFFFFF"/>
            <w:vAlign w:val="center"/>
          </w:tcPr>
          <w:p w14:paraId="26B5E97C">
            <w:pPr>
              <w:jc w:val="center"/>
              <w:rPr>
                <w:rFonts w:ascii="宋体" w:hAnsi="宋体" w:cs="宋体"/>
                <w:sz w:val="24"/>
              </w:rPr>
            </w:pPr>
            <w:r>
              <w:rPr>
                <w:rFonts w:hint="eastAsia" w:ascii="宋体" w:hAnsi="宋体" w:cs="宋体"/>
                <w:sz w:val="24"/>
              </w:rPr>
              <w:t>赵云峰</w:t>
            </w:r>
          </w:p>
        </w:tc>
        <w:tc>
          <w:tcPr>
            <w:tcW w:w="4803" w:type="dxa"/>
            <w:tcBorders>
              <w:tl2br w:val="nil"/>
              <w:tr2bl w:val="nil"/>
            </w:tcBorders>
            <w:shd w:val="clear" w:color="auto" w:fill="FFFFFF"/>
            <w:vAlign w:val="center"/>
          </w:tcPr>
          <w:p w14:paraId="2317B133">
            <w:pPr>
              <w:jc w:val="center"/>
              <w:rPr>
                <w:rFonts w:ascii="宋体" w:hAnsi="宋体" w:cs="宋体"/>
                <w:sz w:val="24"/>
              </w:rPr>
            </w:pPr>
            <w:r>
              <w:rPr>
                <w:rFonts w:hint="default" w:ascii="宋体" w:hAnsi="宋体" w:cs="宋体"/>
                <w:sz w:val="24"/>
                <w:lang w:val="en-US" w:eastAsia="zh-CN"/>
              </w:rPr>
              <w:t>1600000000200809</w:t>
            </w:r>
          </w:p>
        </w:tc>
        <w:tc>
          <w:tcPr>
            <w:tcW w:w="2115" w:type="dxa"/>
            <w:tcBorders>
              <w:tl2br w:val="nil"/>
              <w:tr2bl w:val="nil"/>
            </w:tcBorders>
            <w:shd w:val="clear" w:color="auto" w:fill="FFFFFF"/>
            <w:vAlign w:val="center"/>
          </w:tcPr>
          <w:p w14:paraId="66A810FB">
            <w:pPr>
              <w:jc w:val="center"/>
              <w:rPr>
                <w:rFonts w:ascii="宋体" w:hAnsi="宋体" w:cs="宋体"/>
                <w:sz w:val="24"/>
              </w:rPr>
            </w:pPr>
            <w:r>
              <w:rPr>
                <w:rFonts w:ascii="宋体" w:hAnsi="宋体" w:cs="宋体"/>
                <w:sz w:val="24"/>
              </w:rPr>
              <w:t>030095</w:t>
            </w:r>
          </w:p>
        </w:tc>
      </w:tr>
      <w:tr w14:paraId="52AA7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295423D4">
            <w:pPr>
              <w:jc w:val="center"/>
              <w:rPr>
                <w:rFonts w:ascii="宋体" w:hAnsi="宋体" w:cs="宋体"/>
                <w:sz w:val="24"/>
              </w:rPr>
            </w:pPr>
          </w:p>
        </w:tc>
        <w:tc>
          <w:tcPr>
            <w:tcW w:w="1237" w:type="dxa"/>
            <w:tcBorders>
              <w:tl2br w:val="nil"/>
              <w:tr2bl w:val="nil"/>
            </w:tcBorders>
            <w:shd w:val="clear" w:color="auto" w:fill="FFFFFF"/>
            <w:vAlign w:val="center"/>
          </w:tcPr>
          <w:p w14:paraId="343E173C">
            <w:pPr>
              <w:jc w:val="center"/>
              <w:rPr>
                <w:rFonts w:ascii="宋体" w:hAnsi="宋体" w:cs="宋体"/>
                <w:sz w:val="24"/>
              </w:rPr>
            </w:pPr>
            <w:r>
              <w:rPr>
                <w:rFonts w:hint="eastAsia" w:ascii="宋体" w:hAnsi="宋体" w:cs="宋体"/>
                <w:sz w:val="24"/>
              </w:rPr>
              <w:t>张晋慧</w:t>
            </w:r>
          </w:p>
        </w:tc>
        <w:tc>
          <w:tcPr>
            <w:tcW w:w="4803" w:type="dxa"/>
            <w:tcBorders>
              <w:tl2br w:val="nil"/>
              <w:tr2bl w:val="nil"/>
            </w:tcBorders>
            <w:shd w:val="clear" w:color="auto" w:fill="FFFFFF"/>
            <w:vAlign w:val="center"/>
          </w:tcPr>
          <w:p w14:paraId="684D8D8F">
            <w:pPr>
              <w:jc w:val="center"/>
              <w:rPr>
                <w:rFonts w:ascii="宋体" w:hAnsi="宋体" w:cs="宋体"/>
                <w:sz w:val="24"/>
              </w:rPr>
            </w:pPr>
            <w:r>
              <w:rPr>
                <w:rFonts w:hint="eastAsia" w:ascii="宋体" w:hAnsi="宋体" w:cs="宋体"/>
                <w:sz w:val="24"/>
              </w:rPr>
              <w:t>1100000000302946</w:t>
            </w:r>
          </w:p>
        </w:tc>
        <w:tc>
          <w:tcPr>
            <w:tcW w:w="2115" w:type="dxa"/>
            <w:tcBorders>
              <w:tl2br w:val="nil"/>
              <w:tr2bl w:val="nil"/>
            </w:tcBorders>
            <w:shd w:val="clear" w:color="auto" w:fill="FFFFFF"/>
            <w:vAlign w:val="center"/>
          </w:tcPr>
          <w:p w14:paraId="1E080F86">
            <w:pPr>
              <w:jc w:val="center"/>
              <w:rPr>
                <w:rFonts w:ascii="宋体" w:hAnsi="宋体" w:cs="宋体"/>
                <w:sz w:val="24"/>
              </w:rPr>
            </w:pPr>
            <w:r>
              <w:rPr>
                <w:rFonts w:hint="eastAsia" w:ascii="宋体" w:hAnsi="宋体" w:cs="宋体"/>
                <w:sz w:val="24"/>
              </w:rPr>
              <w:t>020045</w:t>
            </w:r>
          </w:p>
        </w:tc>
      </w:tr>
      <w:tr w14:paraId="3F86F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04C5961C">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14:paraId="2FADA359">
            <w:pPr>
              <w:jc w:val="center"/>
              <w:rPr>
                <w:rFonts w:ascii="宋体" w:hAnsi="宋体" w:cs="宋体"/>
                <w:sz w:val="24"/>
              </w:rPr>
            </w:pPr>
            <w:r>
              <w:rPr>
                <w:rFonts w:hint="eastAsia" w:ascii="宋体" w:hAnsi="宋体" w:cs="宋体"/>
                <w:sz w:val="24"/>
              </w:rPr>
              <w:t>/</w:t>
            </w:r>
            <w:bookmarkStart w:id="0" w:name="_GoBack"/>
            <w:bookmarkEnd w:id="0"/>
          </w:p>
        </w:tc>
      </w:tr>
      <w:tr w14:paraId="1EC8E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14:paraId="2F68E141">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14:paraId="0EE649B3">
            <w:pPr>
              <w:widowControl/>
              <w:spacing w:after="150"/>
              <w:jc w:val="center"/>
              <w:rPr>
                <w:rFonts w:ascii="Times New Roman" w:hAnsi="Times New Roman"/>
                <w:sz w:val="24"/>
              </w:rPr>
            </w:pPr>
            <w:r>
              <w:rPr>
                <w:rFonts w:hint="eastAsia" w:ascii="Times New Roman" w:hAnsi="Times New Roman"/>
                <w:sz w:val="24"/>
              </w:rPr>
              <w:t>徐顺星</w:t>
            </w:r>
            <w:r>
              <w:rPr>
                <w:rFonts w:hint="eastAsia"/>
                <w:color w:val="000000"/>
                <w:sz w:val="24"/>
              </w:rPr>
              <w:t>、</w:t>
            </w:r>
            <w:r>
              <w:rPr>
                <w:rFonts w:hint="eastAsia" w:ascii="宋体" w:hAnsi="宋体" w:cs="宋体"/>
                <w:sz w:val="24"/>
              </w:rPr>
              <w:t>乔贯德</w:t>
            </w:r>
            <w:r>
              <w:rPr>
                <w:rFonts w:hint="eastAsia"/>
                <w:sz w:val="24"/>
              </w:rPr>
              <w:t>202</w:t>
            </w:r>
            <w:r>
              <w:rPr>
                <w:sz w:val="24"/>
              </w:rPr>
              <w:t>5</w:t>
            </w:r>
            <w:r>
              <w:rPr>
                <w:rFonts w:hint="eastAsia"/>
                <w:sz w:val="24"/>
              </w:rPr>
              <w:t>.</w:t>
            </w:r>
            <w:r>
              <w:rPr>
                <w:sz w:val="24"/>
              </w:rPr>
              <w:t>4</w:t>
            </w:r>
            <w:r>
              <w:rPr>
                <w:rFonts w:hint="eastAsia"/>
                <w:sz w:val="24"/>
              </w:rPr>
              <w:t>.</w:t>
            </w:r>
            <w:r>
              <w:rPr>
                <w:sz w:val="24"/>
              </w:rPr>
              <w:t>17</w:t>
            </w:r>
          </w:p>
        </w:tc>
      </w:tr>
      <w:tr w14:paraId="07947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14:paraId="648D022A">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14:paraId="33E919B9">
            <w:pPr>
              <w:widowControl/>
              <w:spacing w:after="150"/>
              <w:jc w:val="center"/>
              <w:rPr>
                <w:rFonts w:ascii="Times New Roman" w:hAnsi="Times New Roman"/>
                <w:color w:val="FF0000"/>
                <w:sz w:val="24"/>
              </w:rPr>
            </w:pPr>
            <w:r>
              <w:rPr>
                <w:rFonts w:hint="eastAsia" w:ascii="Times New Roman" w:hAnsi="Times New Roman"/>
                <w:sz w:val="24"/>
              </w:rPr>
              <w:t>徐顺星</w:t>
            </w:r>
            <w:r>
              <w:rPr>
                <w:rFonts w:hint="eastAsia"/>
                <w:color w:val="000000"/>
                <w:sz w:val="24"/>
              </w:rPr>
              <w:t>、</w:t>
            </w:r>
            <w:r>
              <w:rPr>
                <w:rFonts w:hint="eastAsia" w:ascii="宋体" w:hAnsi="宋体" w:cs="宋体"/>
                <w:sz w:val="24"/>
              </w:rPr>
              <w:t>乔贯德</w:t>
            </w:r>
            <w:r>
              <w:rPr>
                <w:rFonts w:hint="eastAsia"/>
                <w:sz w:val="24"/>
              </w:rPr>
              <w:t>202</w:t>
            </w:r>
            <w:r>
              <w:rPr>
                <w:sz w:val="24"/>
              </w:rPr>
              <w:t>5</w:t>
            </w:r>
            <w:r>
              <w:rPr>
                <w:rFonts w:hint="eastAsia"/>
                <w:sz w:val="24"/>
              </w:rPr>
              <w:t>.</w:t>
            </w:r>
            <w:r>
              <w:rPr>
                <w:sz w:val="24"/>
              </w:rPr>
              <w:t>6</w:t>
            </w:r>
            <w:r>
              <w:rPr>
                <w:rFonts w:hint="eastAsia"/>
                <w:sz w:val="24"/>
              </w:rPr>
              <w:t>.</w:t>
            </w:r>
            <w:r>
              <w:rPr>
                <w:sz w:val="24"/>
              </w:rPr>
              <w:t>15</w:t>
            </w:r>
          </w:p>
        </w:tc>
      </w:tr>
      <w:tr w14:paraId="2983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5FF704D9">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14:paraId="3764BDB0">
            <w:pPr>
              <w:ind w:firstLine="480"/>
              <w:rPr>
                <w:snapToGrid w:val="0"/>
              </w:rPr>
            </w:pPr>
            <w:r>
              <w:rPr>
                <w:rFonts w:hint="eastAsia"/>
                <w:snapToGrid w:val="0"/>
              </w:rPr>
              <w:t>华润三九（南昌）药业有限公司是国资委A级央企华润集团所属上市公司华润三九医药股份有限公司的全资子公司，成立于2000年10月20日，地处江西省南昌市青山湖区昌东工业区东升大道398号，注册资本7039万元人民币，法定代表人陈轩明，公司类型为有限责任公司（台港澳与境内合资），是一家以药品生产、研发、销售为主的专业化、现代化的药品生产制造企业。企业厂区占地面积约为82.28亩，主要生产的产品有：口服液体制剂（强力枇杷露、盐酸氨溴索等）、软胶囊主要剂型（鸦胆子油软胶囊、维生素E软胶囊等）、软膏主要剂型（糠酸莫米松乳膏、曲安奈德益康唑乳膏等）。</w:t>
            </w:r>
          </w:p>
          <w:p w14:paraId="6C199017">
            <w:pPr>
              <w:ind w:firstLine="480"/>
              <w:rPr>
                <w:rFonts w:hint="eastAsia"/>
                <w:snapToGrid w:val="0"/>
              </w:rPr>
            </w:pPr>
            <w:r>
              <w:rPr>
                <w:rFonts w:hint="eastAsia"/>
                <w:snapToGrid w:val="0"/>
              </w:rPr>
              <w:t>企业根据发展规划，建设了原辅料库改化药液体生产线项目，项目主要将软膏车间内原辅料库改造为化药液体生产线，整线满足“配料</w:t>
            </w:r>
            <w:r>
              <w:rPr>
                <w:snapToGrid w:val="0"/>
              </w:rPr>
              <w:t>2</w:t>
            </w:r>
            <w:r>
              <w:rPr>
                <w:rFonts w:hint="eastAsia"/>
                <w:snapToGrid w:val="0"/>
              </w:rPr>
              <w:t>批</w:t>
            </w:r>
            <w:r>
              <w:rPr>
                <w:snapToGrid w:val="0"/>
              </w:rPr>
              <w:t>5000L/</w:t>
            </w:r>
            <w:r>
              <w:rPr>
                <w:rFonts w:hint="eastAsia"/>
                <w:snapToGrid w:val="0"/>
              </w:rPr>
              <w:t>批、灌装</w:t>
            </w:r>
            <w:r>
              <w:rPr>
                <w:snapToGrid w:val="0"/>
              </w:rPr>
              <w:t>/</w:t>
            </w:r>
            <w:r>
              <w:rPr>
                <w:rFonts w:hint="eastAsia"/>
                <w:snapToGrid w:val="0"/>
              </w:rPr>
              <w:t>包装</w:t>
            </w:r>
            <w:r>
              <w:rPr>
                <w:snapToGrid w:val="0"/>
              </w:rPr>
              <w:t>300</w:t>
            </w:r>
            <w:r>
              <w:rPr>
                <w:rFonts w:hint="eastAsia"/>
                <w:snapToGrid w:val="0"/>
              </w:rPr>
              <w:t>瓶</w:t>
            </w:r>
            <w:r>
              <w:rPr>
                <w:snapToGrid w:val="0"/>
              </w:rPr>
              <w:t>/</w:t>
            </w:r>
            <w:r>
              <w:rPr>
                <w:rFonts w:hint="eastAsia"/>
                <w:snapToGrid w:val="0"/>
              </w:rPr>
              <w:t>分钟、单班</w:t>
            </w:r>
            <w:r>
              <w:rPr>
                <w:snapToGrid w:val="0"/>
              </w:rPr>
              <w:t>2</w:t>
            </w:r>
            <w:r>
              <w:rPr>
                <w:rFonts w:hint="eastAsia"/>
                <w:snapToGrid w:val="0"/>
              </w:rPr>
              <w:t>批</w:t>
            </w:r>
            <w:r>
              <w:rPr>
                <w:snapToGrid w:val="0"/>
              </w:rPr>
              <w:t>10</w:t>
            </w:r>
            <w:r>
              <w:rPr>
                <w:rFonts w:hint="eastAsia"/>
                <w:snapToGrid w:val="0"/>
              </w:rPr>
              <w:t>万瓶（</w:t>
            </w:r>
            <w:r>
              <w:rPr>
                <w:snapToGrid w:val="0"/>
              </w:rPr>
              <w:t>100ml</w:t>
            </w:r>
            <w:r>
              <w:rPr>
                <w:rFonts w:hint="eastAsia"/>
                <w:snapToGrid w:val="0"/>
              </w:rPr>
              <w:t>）”高效生产交付要求和产能扩充目标。该项目已取得江西省企业投资项目备案通知书（南昌市青山湖区科技和工业信息化局，项目统一代码：2402-360111-07-02-220346）。</w:t>
            </w:r>
          </w:p>
        </w:tc>
      </w:tr>
      <w:tr w14:paraId="4AEA9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27C5B5A6">
            <w:pPr>
              <w:widowControl/>
              <w:spacing w:after="150"/>
              <w:jc w:val="center"/>
            </w:pPr>
            <w:r>
              <w:rPr>
                <w:rFonts w:hint="eastAsia"/>
                <w:sz w:val="24"/>
              </w:rPr>
              <w:t>工艺流程</w:t>
            </w:r>
          </w:p>
        </w:tc>
        <w:tc>
          <w:tcPr>
            <w:tcW w:w="8155" w:type="dxa"/>
            <w:gridSpan w:val="3"/>
            <w:tcBorders>
              <w:tl2br w:val="nil"/>
              <w:tr2bl w:val="nil"/>
            </w:tcBorders>
            <w:shd w:val="clear" w:color="auto" w:fill="FFFFFF"/>
          </w:tcPr>
          <w:p w14:paraId="10A9BA3F">
            <w:pPr>
              <w:ind w:firstLine="480"/>
            </w:pPr>
            <w:r>
              <w:rPr>
                <w:rFonts w:hint="eastAsia"/>
              </w:rPr>
              <w:t>1、工艺流程简介：</w:t>
            </w:r>
          </w:p>
          <w:p w14:paraId="36F85EAF">
            <w:pPr>
              <w:ind w:firstLine="480"/>
            </w:pPr>
            <w:r>
              <w:t>（1）原</w:t>
            </w:r>
            <w:r>
              <w:rPr>
                <w:rFonts w:hint="eastAsia"/>
              </w:rPr>
              <w:t>辅</w:t>
            </w:r>
            <w:r>
              <w:t>料称量</w:t>
            </w:r>
          </w:p>
          <w:p w14:paraId="381DCF1C">
            <w:pPr>
              <w:ind w:firstLine="480"/>
            </w:pPr>
            <w:r>
              <w:rPr>
                <w:rFonts w:hint="eastAsia"/>
              </w:rPr>
              <w:t>固体物料脱外包后通过风淋隧道进入D级洁净区，再通过无尘投料站输送到固体物料暂存罐进行暂存。液体物料外清后进入D级洁净区，通过输送泵输送到液体物料暂存罐进行暂存。各个物料通过称量后进入配液系统进行配液。</w:t>
            </w:r>
          </w:p>
          <w:p w14:paraId="272A97E7">
            <w:pPr>
              <w:ind w:firstLine="480"/>
            </w:pPr>
            <w:r>
              <w:t>（2）</w:t>
            </w:r>
            <w:r>
              <w:rPr>
                <w:rFonts w:hint="eastAsia"/>
              </w:rPr>
              <w:t>配液</w:t>
            </w:r>
          </w:p>
          <w:p w14:paraId="66CD14CF">
            <w:pPr>
              <w:ind w:firstLine="480"/>
            </w:pPr>
            <w:r>
              <w:t>根据</w:t>
            </w:r>
            <w:r>
              <w:rPr>
                <w:rFonts w:hint="eastAsia"/>
              </w:rPr>
              <w:t>各个</w:t>
            </w:r>
            <w:r>
              <w:t>产品的配液规程，</w:t>
            </w:r>
            <w:r>
              <w:rPr>
                <w:rFonts w:hint="eastAsia"/>
              </w:rPr>
              <w:t>在</w:t>
            </w:r>
            <w:r>
              <w:t>D</w:t>
            </w:r>
            <w:r>
              <w:rPr>
                <w:rFonts w:hint="eastAsia"/>
              </w:rPr>
              <w:t>级洁净区域完成料液的加热、配制、灭菌、过滤等工序，完成后</w:t>
            </w:r>
            <w:r>
              <w:t>将药液</w:t>
            </w:r>
            <w:r>
              <w:rPr>
                <w:rFonts w:hint="eastAsia"/>
              </w:rPr>
              <w:t>送</w:t>
            </w:r>
            <w:r>
              <w:t>至</w:t>
            </w:r>
            <w:r>
              <w:rPr>
                <w:rFonts w:hint="eastAsia"/>
              </w:rPr>
              <w:t>灌封一体机</w:t>
            </w:r>
            <w:r>
              <w:t>内</w:t>
            </w:r>
            <w:r>
              <w:rPr>
                <w:rFonts w:hint="eastAsia"/>
              </w:rPr>
              <w:t>进行</w:t>
            </w:r>
            <w:r>
              <w:t>灌装。</w:t>
            </w:r>
          </w:p>
          <w:p w14:paraId="56F96751">
            <w:pPr>
              <w:ind w:firstLine="480"/>
            </w:pPr>
            <w:r>
              <w:t>（3）</w:t>
            </w:r>
            <w:r>
              <w:rPr>
                <w:rFonts w:hint="eastAsia"/>
              </w:rPr>
              <w:t>灌装</w:t>
            </w:r>
          </w:p>
          <w:p w14:paraId="391ADA95">
            <w:pPr>
              <w:ind w:firstLine="480"/>
            </w:pPr>
            <w:r>
              <w:rPr>
                <w:rFonts w:hint="eastAsia"/>
              </w:rPr>
              <w:t>免清洗口服液瓶脱外包后通过风淋隧道进入D级洁净区，然后进入理瓶机进行理瓶，再输送至灌封一体机进行灌装、封口以及旋盖，而后去外包装工序。</w:t>
            </w:r>
          </w:p>
          <w:p w14:paraId="17568247">
            <w:pPr>
              <w:ind w:firstLine="480"/>
            </w:pPr>
            <w:r>
              <w:rPr>
                <w:rFonts w:hint="eastAsia"/>
              </w:rPr>
              <w:t>（</w:t>
            </w:r>
            <w:r>
              <w:t>4</w:t>
            </w:r>
            <w:r>
              <w:rPr>
                <w:rFonts w:hint="eastAsia"/>
              </w:rPr>
              <w:t>）外</w:t>
            </w:r>
            <w:r>
              <w:t>包装</w:t>
            </w:r>
          </w:p>
          <w:p w14:paraId="7729A456">
            <w:pPr>
              <w:ind w:firstLine="480"/>
            </w:pPr>
            <w:r>
              <w:rPr>
                <w:rFonts w:hint="eastAsia"/>
              </w:rPr>
              <w:t>口服液瓶进入外包间后，先在量杯机上加量杯，再</w:t>
            </w:r>
            <w:r>
              <w:t>放自动贴标机上贴上不干胶标签，并印上批号，由QA检查贴签高度和平整性及批号等印字的正确性，</w:t>
            </w:r>
            <w:r>
              <w:rPr>
                <w:rFonts w:hint="eastAsia"/>
              </w:rPr>
              <w:t>然后</w:t>
            </w:r>
            <w:r>
              <w:t>贴签。将贴签产品放入多功能自动装盒机内（可自动折放说明书、印批号）装盒封口，装箱，检验合格后入库。</w:t>
            </w:r>
          </w:p>
          <w:p w14:paraId="5B8359BB">
            <w:pPr>
              <w:ind w:firstLine="480"/>
            </w:pPr>
            <w:r>
              <w:rPr>
                <w:rFonts w:hint="eastAsia"/>
              </w:rPr>
              <w:t>（</w:t>
            </w:r>
            <w:r>
              <w:t>5</w:t>
            </w:r>
            <w:r>
              <w:rPr>
                <w:rFonts w:hint="eastAsia"/>
              </w:rPr>
              <w:t>）生产线更换产品清洗措施</w:t>
            </w:r>
          </w:p>
          <w:p w14:paraId="2E35A631">
            <w:pPr>
              <w:ind w:firstLine="480"/>
            </w:pPr>
            <w:r>
              <w:rPr>
                <w:rFonts w:hint="eastAsia"/>
              </w:rPr>
              <w:t>当一个产品的生产任务完成后，需要换不同的产品生产。该车间的生产区进行全面清场，相关设备进行全面清洗如：配液系统、粉体暂存仓、灌装机及其之间连接的管道由CIP单元进行在线清洗。CIP单元在线清洗时，先在热水罐进行加热清洗液，加热至规定温度后由CIP单元自带清洗泵进行设备及附属规定循环清洗。热水清洗完成再由纯化水罐提供纯化水进行清洗，直至清洗效果到达更换产品所规定的清洗效果。</w:t>
            </w:r>
          </w:p>
          <w:p w14:paraId="62957A27">
            <w:pPr>
              <w:ind w:firstLine="480"/>
            </w:pPr>
            <w:r>
              <w:rPr>
                <w:rFonts w:hint="eastAsia"/>
              </w:rPr>
              <w:t>2、工艺流程图</w:t>
            </w:r>
          </w:p>
          <w:p w14:paraId="048493D6">
            <w:pPr>
              <w:pStyle w:val="26"/>
              <w:jc w:val="center"/>
              <w:rPr>
                <w:rFonts w:ascii="Calibri" w:hAnsi="Calibri"/>
                <w:color w:val="auto"/>
                <w:sz w:val="21"/>
              </w:rPr>
            </w:pPr>
            <w:r>
              <w:rPr>
                <w:rFonts w:ascii="Calibri" w:hAnsi="Calibri"/>
                <w:color w:val="auto"/>
                <w:sz w:val="21"/>
              </w:rPr>
              <w:drawing>
                <wp:inline distT="0" distB="0" distL="0" distR="0">
                  <wp:extent cx="3358515" cy="4728210"/>
                  <wp:effectExtent l="0" t="0" r="0" b="0"/>
                  <wp:docPr id="3" name="图片 3" descr="D:\桌面\e0c700a2-8bcc-4032-9a7b-1232d05260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桌面\e0c700a2-8bcc-4032-9a7b-1232d05260cf.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374522" cy="4750123"/>
                          </a:xfrm>
                          <a:prstGeom prst="rect">
                            <a:avLst/>
                          </a:prstGeom>
                          <a:noFill/>
                          <a:ln>
                            <a:noFill/>
                          </a:ln>
                        </pic:spPr>
                      </pic:pic>
                    </a:graphicData>
                  </a:graphic>
                </wp:inline>
              </w:drawing>
            </w:r>
          </w:p>
        </w:tc>
      </w:tr>
      <w:tr w14:paraId="35D0E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27CD5619">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14:paraId="66F4F0A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746E9891">
      <w:r>
        <w:rPr>
          <w:rFonts w:hint="eastAsia"/>
        </w:rPr>
        <w:br w:type="page"/>
      </w:r>
    </w:p>
    <w:p w14:paraId="06341518">
      <w:r>
        <w:drawing>
          <wp:inline distT="0" distB="0" distL="0" distR="0">
            <wp:extent cx="5474970" cy="4106545"/>
            <wp:effectExtent l="0" t="0" r="0" b="8255"/>
            <wp:docPr id="4" name="图片 4" descr="G:\已完成报告1\2025年\华润三九原辅料库改化药液体生产线项目安全验收\江西分公司-化工华润三九（南昌）药业有限公司原辅料库改化药液体生产线项目安全验收评价报告-修改稿\出版法定报告需要有的资料\1、现场照片\2现场考察1，2025年4月17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G:\已完成报告1\2025年\华润三九原辅料库改化药液体生产线项目安全验收\江西分公司-化工华润三九（南昌）药业有限公司原辅料库改化药液体生产线项目安全验收评价报告-修改稿\出版法定报告需要有的资料\1、现场照片\2现场考察1，2025年4月17日.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474970" cy="4106545"/>
                    </a:xfrm>
                    <a:prstGeom prst="rect">
                      <a:avLst/>
                    </a:prstGeom>
                    <a:noFill/>
                    <a:ln>
                      <a:noFill/>
                    </a:ln>
                  </pic:spPr>
                </pic:pic>
              </a:graphicData>
            </a:graphic>
          </wp:inline>
        </w:drawing>
      </w:r>
    </w:p>
    <w:p w14:paraId="37F04D1C">
      <w:r>
        <w:drawing>
          <wp:inline distT="0" distB="0" distL="0" distR="0">
            <wp:extent cx="5474970" cy="4106545"/>
            <wp:effectExtent l="0" t="0" r="0" b="8255"/>
            <wp:docPr id="5" name="图片 5" descr="G:\已完成报告1\2025年\华润三九原辅料库改化药液体生产线项目安全验收\江西分公司-化工华润三九（南昌）药业有限公司原辅料库改化药液体生产线项目安全验收评价报告-修改稿\出版法定报告需要有的资料\1、现场照片\2现场考察2，2025年4月17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G:\已完成报告1\2025年\华润三九原辅料库改化药液体生产线项目安全验收\江西分公司-化工华润三九（南昌）药业有限公司原辅料库改化药液体生产线项目安全验收评价报告-修改稿\出版法定报告需要有的资料\1、现场照片\2现场考察2，2025年4月17日.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474970" cy="4106545"/>
                    </a:xfrm>
                    <a:prstGeom prst="rect">
                      <a:avLst/>
                    </a:prstGeom>
                    <a:noFill/>
                    <a:ln>
                      <a:noFill/>
                    </a:ln>
                  </pic:spPr>
                </pic:pic>
              </a:graphicData>
            </a:graphic>
          </wp:inline>
        </w:drawing>
      </w:r>
    </w:p>
    <w:p w14:paraId="33FB558C"/>
    <w:p w14:paraId="6580038F"/>
    <w:p w14:paraId="42B64A4A">
      <w:r>
        <w:drawing>
          <wp:inline distT="0" distB="0" distL="0" distR="0">
            <wp:extent cx="5353685" cy="7509510"/>
            <wp:effectExtent l="0" t="0" r="0" b="0"/>
            <wp:docPr id="8" name="图片 8" descr="E:\xwechat_files\pxb2003_5210\temp\InputTemp\72c2898c-4574-45ab-9ec6-f18c7e283b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xwechat_files\pxb2003_5210\temp\InputTemp\72c2898c-4574-45ab-9ec6-f18c7e283be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358651" cy="7516625"/>
                    </a:xfrm>
                    <a:prstGeom prst="rect">
                      <a:avLst/>
                    </a:prstGeom>
                    <a:noFill/>
                    <a:ln>
                      <a:noFill/>
                    </a:ln>
                  </pic:spPr>
                </pic:pic>
              </a:graphicData>
            </a:graphic>
          </wp:inline>
        </w:drawing>
      </w:r>
    </w:p>
    <w:p w14:paraId="7BC3890E">
      <w:r>
        <w:drawing>
          <wp:inline distT="0" distB="0" distL="0" distR="0">
            <wp:extent cx="5228590" cy="7315835"/>
            <wp:effectExtent l="0" t="0" r="0" b="0"/>
            <wp:docPr id="9" name="图片 9" descr="E:\xwechat_files\pxb2003_5210\temp\InputTemp\1b8d8efb-8399-4861-a681-3b4a381574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xwechat_files\pxb2003_5210\temp\InputTemp\1b8d8efb-8399-4861-a681-3b4a3815748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41656" cy="7334315"/>
                    </a:xfrm>
                    <a:prstGeom prst="rect">
                      <a:avLst/>
                    </a:prstGeom>
                    <a:noFill/>
                    <a:ln>
                      <a:noFill/>
                    </a:ln>
                  </pic:spPr>
                </pic:pic>
              </a:graphicData>
            </a:graphic>
          </wp:inline>
        </w:drawing>
      </w:r>
    </w:p>
    <w:p w14:paraId="408A2F15"/>
    <w:p w14:paraId="6E7C96A3"/>
    <w:p w14:paraId="6E7CB760"/>
    <w:p w14:paraId="089EA0DF"/>
    <w:p w14:paraId="70411835"/>
    <w:p w14:paraId="20EE716A"/>
    <w:p w14:paraId="4009C06A"/>
    <w:p w14:paraId="108550E7">
      <w:r>
        <w:drawing>
          <wp:inline distT="0" distB="0" distL="0" distR="0">
            <wp:extent cx="5339715" cy="7120890"/>
            <wp:effectExtent l="0" t="0" r="0" b="3810"/>
            <wp:docPr id="10" name="图片 10" descr="E:\xwechat_files\pxb2003_5210\temp\RWTemp\2025-10\9e20f478899dc29eb19741386f9343c8\3ae1963a01b06bbe9b8039bc97b8c5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xwechat_files\pxb2003_5210\temp\RWTemp\2025-10\9e20f478899dc29eb19741386f9343c8\3ae1963a01b06bbe9b8039bc97b8c50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342476" cy="7124537"/>
                    </a:xfrm>
                    <a:prstGeom prst="rect">
                      <a:avLst/>
                    </a:prstGeom>
                    <a:noFill/>
                    <a:ln>
                      <a:noFill/>
                    </a:ln>
                  </pic:spPr>
                </pic:pic>
              </a:graphicData>
            </a:graphic>
          </wp:inline>
        </w:drawing>
      </w:r>
    </w:p>
    <w:p w14:paraId="0658F8FE">
      <w:r>
        <w:drawing>
          <wp:inline distT="0" distB="0" distL="0" distR="0">
            <wp:extent cx="5231765" cy="6977380"/>
            <wp:effectExtent l="0" t="0" r="6985" b="0"/>
            <wp:docPr id="11" name="图片 11" descr="E:\xwechat_files\pxb2003_5210\temp\RWTemp\2025-10\9e20f478899dc29eb19741386f9343c8\8fa050d10c61d871d1932648dbe693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xwechat_files\pxb2003_5210\temp\RWTemp\2025-10\9e20f478899dc29eb19741386f9343c8\8fa050d10c61d871d1932648dbe693b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37485" cy="6984526"/>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679C0"/>
    <w:multiLevelType w:val="singleLevel"/>
    <w:tmpl w:val="850679C0"/>
    <w:lvl w:ilvl="0" w:tentative="0">
      <w:start w:val="1"/>
      <w:numFmt w:val="decimal"/>
      <w:pStyle w:val="47"/>
      <w:suff w:val="nothing"/>
      <w:lvlText w:val="%1）"/>
      <w:lvlJc w:val="left"/>
      <w:pPr>
        <w:tabs>
          <w:tab w:val="left" w:pos="312"/>
        </w:tabs>
      </w:pPr>
      <w:rPr>
        <w:rFonts w:hint="default" w:ascii="Times New Roman" w:hAnsi="Times New Roman" w:eastAsia="宋体" w:cs="Times New Roman"/>
        <w:sz w:val="24"/>
        <w:szCs w:val="24"/>
      </w:rPr>
    </w:lvl>
  </w:abstractNum>
  <w:abstractNum w:abstractNumId="1">
    <w:nsid w:val="5183855F"/>
    <w:multiLevelType w:val="singleLevel"/>
    <w:tmpl w:val="5183855F"/>
    <w:lvl w:ilvl="0" w:tentative="0">
      <w:start w:val="1"/>
      <w:numFmt w:val="chineseCounting"/>
      <w:pStyle w:val="42"/>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1YmJhMTRkMGU2NWU2MjE0YWI5MWU2ODcxNDk2YTgifQ=="/>
    <w:docVar w:name="KSO_WPS_MARK_KEY" w:val="f0c94484-18bf-41d0-a894-232196517eb0"/>
  </w:docVars>
  <w:rsids>
    <w:rsidRoot w:val="00E3751A"/>
    <w:rsid w:val="00047227"/>
    <w:rsid w:val="00194B7C"/>
    <w:rsid w:val="002012A2"/>
    <w:rsid w:val="00303C12"/>
    <w:rsid w:val="003A7C06"/>
    <w:rsid w:val="004105EC"/>
    <w:rsid w:val="004340C8"/>
    <w:rsid w:val="00443349"/>
    <w:rsid w:val="004D1AF7"/>
    <w:rsid w:val="005858BE"/>
    <w:rsid w:val="005B1B0B"/>
    <w:rsid w:val="005F7E5F"/>
    <w:rsid w:val="00702271"/>
    <w:rsid w:val="00726007"/>
    <w:rsid w:val="00727066"/>
    <w:rsid w:val="00756850"/>
    <w:rsid w:val="00787BD2"/>
    <w:rsid w:val="007A2261"/>
    <w:rsid w:val="007C3A9A"/>
    <w:rsid w:val="00802085"/>
    <w:rsid w:val="00820F6E"/>
    <w:rsid w:val="0087702C"/>
    <w:rsid w:val="008F01AE"/>
    <w:rsid w:val="009570B9"/>
    <w:rsid w:val="009A19ED"/>
    <w:rsid w:val="009A48D7"/>
    <w:rsid w:val="00B55092"/>
    <w:rsid w:val="00C341C7"/>
    <w:rsid w:val="00C65B3D"/>
    <w:rsid w:val="00C75118"/>
    <w:rsid w:val="00C82162"/>
    <w:rsid w:val="00CA7067"/>
    <w:rsid w:val="00CD7575"/>
    <w:rsid w:val="00D40559"/>
    <w:rsid w:val="00D93BC0"/>
    <w:rsid w:val="00D950DC"/>
    <w:rsid w:val="00DA562A"/>
    <w:rsid w:val="00E14A4E"/>
    <w:rsid w:val="00E3751A"/>
    <w:rsid w:val="00E95F3C"/>
    <w:rsid w:val="00F46A10"/>
    <w:rsid w:val="00F60933"/>
    <w:rsid w:val="00F95516"/>
    <w:rsid w:val="00FF47EE"/>
    <w:rsid w:val="01381A2C"/>
    <w:rsid w:val="030516AD"/>
    <w:rsid w:val="03463A74"/>
    <w:rsid w:val="03A1635F"/>
    <w:rsid w:val="03C37305"/>
    <w:rsid w:val="04334FFF"/>
    <w:rsid w:val="04543719"/>
    <w:rsid w:val="045937F4"/>
    <w:rsid w:val="04664971"/>
    <w:rsid w:val="04714B20"/>
    <w:rsid w:val="04D11406"/>
    <w:rsid w:val="04E23328"/>
    <w:rsid w:val="050505ED"/>
    <w:rsid w:val="06007F0A"/>
    <w:rsid w:val="062E2CC9"/>
    <w:rsid w:val="06567547"/>
    <w:rsid w:val="06EF6353"/>
    <w:rsid w:val="07D32EB9"/>
    <w:rsid w:val="07E46E00"/>
    <w:rsid w:val="0814540D"/>
    <w:rsid w:val="08300409"/>
    <w:rsid w:val="08302FF8"/>
    <w:rsid w:val="0845254C"/>
    <w:rsid w:val="08E81855"/>
    <w:rsid w:val="08ED0200"/>
    <w:rsid w:val="0946657C"/>
    <w:rsid w:val="096769A3"/>
    <w:rsid w:val="096F1B10"/>
    <w:rsid w:val="09806C85"/>
    <w:rsid w:val="09A37E9F"/>
    <w:rsid w:val="0A0E1339"/>
    <w:rsid w:val="0A173A74"/>
    <w:rsid w:val="0A4F7A65"/>
    <w:rsid w:val="0BC750FD"/>
    <w:rsid w:val="0C370800"/>
    <w:rsid w:val="0D073DB5"/>
    <w:rsid w:val="0D081033"/>
    <w:rsid w:val="0E564C35"/>
    <w:rsid w:val="0EC817E1"/>
    <w:rsid w:val="0F1C6141"/>
    <w:rsid w:val="0FE07C54"/>
    <w:rsid w:val="0FFD1618"/>
    <w:rsid w:val="10806817"/>
    <w:rsid w:val="10A546BD"/>
    <w:rsid w:val="10AD0B5D"/>
    <w:rsid w:val="10AE1BD9"/>
    <w:rsid w:val="10D96D50"/>
    <w:rsid w:val="11BA5E99"/>
    <w:rsid w:val="13337B71"/>
    <w:rsid w:val="13FA1B12"/>
    <w:rsid w:val="141C622E"/>
    <w:rsid w:val="14732EA1"/>
    <w:rsid w:val="147F5532"/>
    <w:rsid w:val="14D001B2"/>
    <w:rsid w:val="156C314D"/>
    <w:rsid w:val="15CB68F5"/>
    <w:rsid w:val="16B10157"/>
    <w:rsid w:val="172B1294"/>
    <w:rsid w:val="17505468"/>
    <w:rsid w:val="1752433D"/>
    <w:rsid w:val="17550DB0"/>
    <w:rsid w:val="17810296"/>
    <w:rsid w:val="17C601C4"/>
    <w:rsid w:val="18301429"/>
    <w:rsid w:val="18351C95"/>
    <w:rsid w:val="188D103C"/>
    <w:rsid w:val="190E35A0"/>
    <w:rsid w:val="191A70DD"/>
    <w:rsid w:val="19992B53"/>
    <w:rsid w:val="19CE23A1"/>
    <w:rsid w:val="19D014C8"/>
    <w:rsid w:val="19F45335"/>
    <w:rsid w:val="1A330456"/>
    <w:rsid w:val="1A4E76A5"/>
    <w:rsid w:val="1ADA1B6B"/>
    <w:rsid w:val="1B63147C"/>
    <w:rsid w:val="1C3244B8"/>
    <w:rsid w:val="1C461987"/>
    <w:rsid w:val="1C4B6410"/>
    <w:rsid w:val="1C67088B"/>
    <w:rsid w:val="1C970306"/>
    <w:rsid w:val="1CD13F56"/>
    <w:rsid w:val="1CD14F1F"/>
    <w:rsid w:val="1CEA3399"/>
    <w:rsid w:val="1DA60EEB"/>
    <w:rsid w:val="1F0F5E71"/>
    <w:rsid w:val="1F142A61"/>
    <w:rsid w:val="1F373426"/>
    <w:rsid w:val="1F642D26"/>
    <w:rsid w:val="1FAC2BD1"/>
    <w:rsid w:val="1FF45CE7"/>
    <w:rsid w:val="2107263D"/>
    <w:rsid w:val="21313216"/>
    <w:rsid w:val="214C4107"/>
    <w:rsid w:val="21A13C43"/>
    <w:rsid w:val="222E1FA2"/>
    <w:rsid w:val="22366385"/>
    <w:rsid w:val="224031F6"/>
    <w:rsid w:val="2282270A"/>
    <w:rsid w:val="229735F9"/>
    <w:rsid w:val="22AD2D70"/>
    <w:rsid w:val="23532900"/>
    <w:rsid w:val="2359594A"/>
    <w:rsid w:val="237962D0"/>
    <w:rsid w:val="23B37411"/>
    <w:rsid w:val="242E50EF"/>
    <w:rsid w:val="244E33BB"/>
    <w:rsid w:val="24775815"/>
    <w:rsid w:val="24D12D46"/>
    <w:rsid w:val="24FD0CF7"/>
    <w:rsid w:val="25FB3FD9"/>
    <w:rsid w:val="260B2287"/>
    <w:rsid w:val="26134134"/>
    <w:rsid w:val="271635D9"/>
    <w:rsid w:val="27280E94"/>
    <w:rsid w:val="27F61196"/>
    <w:rsid w:val="28814447"/>
    <w:rsid w:val="29283150"/>
    <w:rsid w:val="297A3C20"/>
    <w:rsid w:val="298C1931"/>
    <w:rsid w:val="29925FE1"/>
    <w:rsid w:val="29C972C6"/>
    <w:rsid w:val="2BD9110B"/>
    <w:rsid w:val="2C9D3BC7"/>
    <w:rsid w:val="2CF2686E"/>
    <w:rsid w:val="2E9E272A"/>
    <w:rsid w:val="2EAE6403"/>
    <w:rsid w:val="2F5C124E"/>
    <w:rsid w:val="31055C5A"/>
    <w:rsid w:val="3256187C"/>
    <w:rsid w:val="3259568C"/>
    <w:rsid w:val="32A66941"/>
    <w:rsid w:val="334B2415"/>
    <w:rsid w:val="339918AA"/>
    <w:rsid w:val="33BD2F62"/>
    <w:rsid w:val="33C148CD"/>
    <w:rsid w:val="341F407D"/>
    <w:rsid w:val="34BD4A82"/>
    <w:rsid w:val="351530F3"/>
    <w:rsid w:val="35211925"/>
    <w:rsid w:val="35524794"/>
    <w:rsid w:val="36577381"/>
    <w:rsid w:val="366115C7"/>
    <w:rsid w:val="368F242B"/>
    <w:rsid w:val="37285AB1"/>
    <w:rsid w:val="375C6F30"/>
    <w:rsid w:val="3781684D"/>
    <w:rsid w:val="3823766B"/>
    <w:rsid w:val="396748BA"/>
    <w:rsid w:val="3A751F6D"/>
    <w:rsid w:val="3AB6680E"/>
    <w:rsid w:val="3AD61658"/>
    <w:rsid w:val="3ADD7367"/>
    <w:rsid w:val="3AF50232"/>
    <w:rsid w:val="3B251FB8"/>
    <w:rsid w:val="3B3712DA"/>
    <w:rsid w:val="3B622014"/>
    <w:rsid w:val="3BFC6477"/>
    <w:rsid w:val="3C7D28D5"/>
    <w:rsid w:val="3C9506A5"/>
    <w:rsid w:val="3CE43836"/>
    <w:rsid w:val="3D027FC2"/>
    <w:rsid w:val="3D3D4FC4"/>
    <w:rsid w:val="3D4729D1"/>
    <w:rsid w:val="3DEB4A20"/>
    <w:rsid w:val="3E2D53F7"/>
    <w:rsid w:val="3EB62D94"/>
    <w:rsid w:val="3EEC7F81"/>
    <w:rsid w:val="3F0E1560"/>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546743F"/>
    <w:rsid w:val="45A13141"/>
    <w:rsid w:val="46966FC2"/>
    <w:rsid w:val="46F56910"/>
    <w:rsid w:val="47EE36B2"/>
    <w:rsid w:val="485E76F8"/>
    <w:rsid w:val="487A531F"/>
    <w:rsid w:val="48AF6D87"/>
    <w:rsid w:val="49CE6C17"/>
    <w:rsid w:val="4A437992"/>
    <w:rsid w:val="4CDE060B"/>
    <w:rsid w:val="4E3D5914"/>
    <w:rsid w:val="4E461B89"/>
    <w:rsid w:val="4F4C1097"/>
    <w:rsid w:val="4F844CD5"/>
    <w:rsid w:val="4FF32FA8"/>
    <w:rsid w:val="50EA0B03"/>
    <w:rsid w:val="512A57AB"/>
    <w:rsid w:val="515A3854"/>
    <w:rsid w:val="5276471A"/>
    <w:rsid w:val="52B20F97"/>
    <w:rsid w:val="52CC47C0"/>
    <w:rsid w:val="52E07D49"/>
    <w:rsid w:val="5374510A"/>
    <w:rsid w:val="53F5005F"/>
    <w:rsid w:val="550C37A2"/>
    <w:rsid w:val="563D2137"/>
    <w:rsid w:val="56836AB2"/>
    <w:rsid w:val="56BC2DE3"/>
    <w:rsid w:val="56D42C4D"/>
    <w:rsid w:val="56EF512A"/>
    <w:rsid w:val="57301D47"/>
    <w:rsid w:val="57487036"/>
    <w:rsid w:val="575D6537"/>
    <w:rsid w:val="57800B40"/>
    <w:rsid w:val="57CD2DFE"/>
    <w:rsid w:val="58244FE5"/>
    <w:rsid w:val="584B13F6"/>
    <w:rsid w:val="59217B49"/>
    <w:rsid w:val="59656964"/>
    <w:rsid w:val="59D926D2"/>
    <w:rsid w:val="5A034680"/>
    <w:rsid w:val="5AA52A54"/>
    <w:rsid w:val="5BC05975"/>
    <w:rsid w:val="5BD743DE"/>
    <w:rsid w:val="5C3A1541"/>
    <w:rsid w:val="5CA15F65"/>
    <w:rsid w:val="5D63281F"/>
    <w:rsid w:val="5D706898"/>
    <w:rsid w:val="5D731EE5"/>
    <w:rsid w:val="5D7C7100"/>
    <w:rsid w:val="5D89238E"/>
    <w:rsid w:val="5D8C28DB"/>
    <w:rsid w:val="5DA30A1C"/>
    <w:rsid w:val="5E1A42E3"/>
    <w:rsid w:val="5E3F6556"/>
    <w:rsid w:val="5E4A7A0E"/>
    <w:rsid w:val="5E8C3C37"/>
    <w:rsid w:val="5EBC6D64"/>
    <w:rsid w:val="5ED03402"/>
    <w:rsid w:val="5F182B4A"/>
    <w:rsid w:val="5FD163AE"/>
    <w:rsid w:val="60057BEA"/>
    <w:rsid w:val="6098413C"/>
    <w:rsid w:val="60B44CEE"/>
    <w:rsid w:val="60B460AF"/>
    <w:rsid w:val="619747AF"/>
    <w:rsid w:val="621C336D"/>
    <w:rsid w:val="629E5C56"/>
    <w:rsid w:val="62A05F08"/>
    <w:rsid w:val="62EA5BC6"/>
    <w:rsid w:val="630737FB"/>
    <w:rsid w:val="63C25DAA"/>
    <w:rsid w:val="64126CC6"/>
    <w:rsid w:val="648F0582"/>
    <w:rsid w:val="64F540D9"/>
    <w:rsid w:val="6559245A"/>
    <w:rsid w:val="65622F6B"/>
    <w:rsid w:val="658C415A"/>
    <w:rsid w:val="65BD6D5B"/>
    <w:rsid w:val="66C53C4A"/>
    <w:rsid w:val="673B297E"/>
    <w:rsid w:val="678F323C"/>
    <w:rsid w:val="67F105D6"/>
    <w:rsid w:val="68233EA0"/>
    <w:rsid w:val="68A30209"/>
    <w:rsid w:val="68C86C57"/>
    <w:rsid w:val="69C2222A"/>
    <w:rsid w:val="6AA57F27"/>
    <w:rsid w:val="6CC37EB5"/>
    <w:rsid w:val="6D1139EB"/>
    <w:rsid w:val="6D3457FF"/>
    <w:rsid w:val="6E0E1EE1"/>
    <w:rsid w:val="6E2A4841"/>
    <w:rsid w:val="6EEF19E2"/>
    <w:rsid w:val="6F3D1DEF"/>
    <w:rsid w:val="6F963F3C"/>
    <w:rsid w:val="6FB940CF"/>
    <w:rsid w:val="6FE54B28"/>
    <w:rsid w:val="71276AD1"/>
    <w:rsid w:val="7160445C"/>
    <w:rsid w:val="71697143"/>
    <w:rsid w:val="716C6A50"/>
    <w:rsid w:val="7207397B"/>
    <w:rsid w:val="729E3A33"/>
    <w:rsid w:val="72C43B37"/>
    <w:rsid w:val="73670AB5"/>
    <w:rsid w:val="737D1DEA"/>
    <w:rsid w:val="748B2EA1"/>
    <w:rsid w:val="74AE0F56"/>
    <w:rsid w:val="76391AC6"/>
    <w:rsid w:val="7672193D"/>
    <w:rsid w:val="770403EE"/>
    <w:rsid w:val="771C50B0"/>
    <w:rsid w:val="771E190D"/>
    <w:rsid w:val="77832F9B"/>
    <w:rsid w:val="77C519A6"/>
    <w:rsid w:val="78063C29"/>
    <w:rsid w:val="784004D1"/>
    <w:rsid w:val="78725E9B"/>
    <w:rsid w:val="7877129B"/>
    <w:rsid w:val="787B0173"/>
    <w:rsid w:val="79302291"/>
    <w:rsid w:val="797D7F1B"/>
    <w:rsid w:val="79F44E86"/>
    <w:rsid w:val="79FE7AE0"/>
    <w:rsid w:val="7A083C89"/>
    <w:rsid w:val="7AA15E8B"/>
    <w:rsid w:val="7B424553"/>
    <w:rsid w:val="7BB96559"/>
    <w:rsid w:val="7C304A31"/>
    <w:rsid w:val="7C6520EB"/>
    <w:rsid w:val="7C85225C"/>
    <w:rsid w:val="7D1943FF"/>
    <w:rsid w:val="7D7347EF"/>
    <w:rsid w:val="7D9B14E2"/>
    <w:rsid w:val="7DB761A8"/>
    <w:rsid w:val="7DD52B5A"/>
    <w:rsid w:val="7E522673"/>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4"/>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4">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5">
    <w:name w:val="heading 4"/>
    <w:basedOn w:val="1"/>
    <w:next w:val="1"/>
    <w:unhideWhenUsed/>
    <w:qFormat/>
    <w:uiPriority w:val="0"/>
    <w:pPr>
      <w:keepNext/>
      <w:keepLines/>
      <w:outlineLvl w:val="3"/>
    </w:pPr>
    <w:rPr>
      <w:b/>
    </w:rPr>
  </w:style>
  <w:style w:type="character" w:default="1" w:styleId="24">
    <w:name w:val="Default Paragraph Font"/>
    <w:semiHidden/>
    <w:unhideWhenUsed/>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Body Text"/>
    <w:basedOn w:val="1"/>
    <w:next w:val="1"/>
    <w:qFormat/>
    <w:uiPriority w:val="99"/>
    <w:rPr>
      <w:sz w:val="28"/>
      <w:szCs w:val="28"/>
    </w:rPr>
  </w:style>
  <w:style w:type="paragraph" w:styleId="8">
    <w:name w:val="Body Text Indent"/>
    <w:basedOn w:val="1"/>
    <w:next w:val="7"/>
    <w:unhideWhenUsed/>
    <w:qFormat/>
    <w:uiPriority w:val="99"/>
    <w:pPr>
      <w:spacing w:after="120"/>
      <w:ind w:left="420" w:leftChars="200"/>
    </w:pPr>
  </w:style>
  <w:style w:type="paragraph" w:styleId="9">
    <w:name w:val="toc 5"/>
    <w:basedOn w:val="1"/>
    <w:next w:val="1"/>
    <w:semiHidden/>
    <w:qFormat/>
    <w:uiPriority w:val="0"/>
    <w:pPr>
      <w:ind w:left="1120"/>
      <w:jc w:val="left"/>
    </w:pPr>
    <w:rPr>
      <w:sz w:val="18"/>
      <w:szCs w:val="18"/>
    </w:rPr>
  </w:style>
  <w:style w:type="paragraph" w:styleId="10">
    <w:name w:val="Plain Text"/>
    <w:basedOn w:val="1"/>
    <w:qFormat/>
    <w:uiPriority w:val="0"/>
    <w:rPr>
      <w:rFonts w:ascii="宋体" w:hAnsi="Courier New" w:cs="Courier New"/>
      <w:szCs w:val="21"/>
    </w:rPr>
  </w:style>
  <w:style w:type="paragraph" w:styleId="11">
    <w:name w:val="Date"/>
    <w:basedOn w:val="1"/>
    <w:next w:val="1"/>
    <w:link w:val="46"/>
    <w:qFormat/>
    <w:uiPriority w:val="0"/>
    <w:pPr>
      <w:ind w:left="100" w:leftChars="2500"/>
    </w:pPr>
    <w:rPr>
      <w:rFonts w:ascii="Times New Roman" w:hAnsi="Times New Roman"/>
      <w:b/>
      <w:bCs/>
      <w:sz w:val="28"/>
    </w:rPr>
  </w:style>
  <w:style w:type="paragraph" w:styleId="12">
    <w:name w:val="Body Text Indent 2"/>
    <w:basedOn w:val="1"/>
    <w:qFormat/>
    <w:uiPriority w:val="0"/>
    <w:pPr>
      <w:ind w:firstLine="538" w:firstLineChars="192"/>
    </w:pPr>
    <w:rPr>
      <w:rFonts w:ascii="宋体" w:hAnsi="宋体"/>
      <w:sz w:val="28"/>
    </w:rPr>
  </w:style>
  <w:style w:type="paragraph" w:styleId="13">
    <w:name w:val="Balloon Text"/>
    <w:basedOn w:val="1"/>
    <w:link w:val="32"/>
    <w:qFormat/>
    <w:uiPriority w:val="0"/>
    <w:rPr>
      <w:sz w:val="18"/>
      <w:szCs w:val="18"/>
    </w:rPr>
  </w:style>
  <w:style w:type="paragraph" w:styleId="14">
    <w:name w:val="footer"/>
    <w:basedOn w:val="1"/>
    <w:next w:val="15"/>
    <w:qFormat/>
    <w:uiPriority w:val="0"/>
    <w:pPr>
      <w:tabs>
        <w:tab w:val="center" w:pos="4153"/>
        <w:tab w:val="right" w:pos="8306"/>
      </w:tabs>
      <w:snapToGrid w:val="0"/>
    </w:pPr>
    <w:rPr>
      <w:sz w:val="18"/>
      <w:szCs w:val="18"/>
    </w:rPr>
  </w:style>
  <w:style w:type="paragraph" w:styleId="15">
    <w:name w:val="Normal (Web)"/>
    <w:basedOn w:val="1"/>
    <w:next w:val="16"/>
    <w:qFormat/>
    <w:uiPriority w:val="0"/>
    <w:pPr>
      <w:spacing w:before="100" w:beforeAutospacing="1" w:after="100" w:afterAutospacing="1"/>
      <w:jc w:val="left"/>
    </w:pPr>
    <w:rPr>
      <w:kern w:val="0"/>
      <w:sz w:val="24"/>
    </w:rPr>
  </w:style>
  <w:style w:type="paragraph" w:customStyle="1" w:styleId="16">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jc w:val="left"/>
    </w:pPr>
    <w:rPr>
      <w:rFonts w:ascii="宋体"/>
      <w:b/>
      <w:bCs/>
      <w:caps/>
      <w:sz w:val="20"/>
      <w:szCs w:val="20"/>
    </w:rPr>
  </w:style>
  <w:style w:type="paragraph" w:styleId="19">
    <w:name w:val="Body Text Indent 3"/>
    <w:basedOn w:val="1"/>
    <w:qFormat/>
    <w:uiPriority w:val="0"/>
    <w:pPr>
      <w:ind w:firstLine="630"/>
    </w:pPr>
    <w:rPr>
      <w:rFonts w:ascii="Times New Roman" w:hAnsi="Times New Roman" w:eastAsia="仿宋_GB2312"/>
      <w:sz w:val="28"/>
    </w:rPr>
  </w:style>
  <w:style w:type="paragraph" w:styleId="20">
    <w:name w:val="Body Text First Indent"/>
    <w:basedOn w:val="7"/>
    <w:next w:val="1"/>
    <w:qFormat/>
    <w:uiPriority w:val="0"/>
    <w:pPr>
      <w:spacing w:after="120"/>
      <w:ind w:firstLine="420" w:firstLineChars="100"/>
    </w:pPr>
  </w:style>
  <w:style w:type="paragraph" w:styleId="21">
    <w:name w:val="Body Text First Indent 2"/>
    <w:basedOn w:val="8"/>
    <w:next w:val="22"/>
    <w:unhideWhenUsed/>
    <w:qFormat/>
    <w:uiPriority w:val="99"/>
    <w:pPr>
      <w:ind w:firstLine="420" w:firstLineChars="200"/>
    </w:pPr>
  </w:style>
  <w:style w:type="paragraph" w:customStyle="1" w:styleId="22">
    <w:name w:val="正文2"/>
    <w:basedOn w:val="1"/>
    <w:qFormat/>
    <w:uiPriority w:val="0"/>
    <w:pPr>
      <w:spacing w:line="440" w:lineRule="atLeast"/>
      <w:ind w:firstLine="567"/>
    </w:pPr>
    <w:rPr>
      <w:sz w:val="24"/>
      <w:szCs w:val="20"/>
    </w:rPr>
  </w:style>
  <w:style w:type="paragraph" w:customStyle="1" w:styleId="25">
    <w:name w:val="样式 首行缩进:  2 字符"/>
    <w:basedOn w:val="1"/>
    <w:next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6">
    <w:name w:val="Default"/>
    <w:basedOn w:val="27"/>
    <w:next w:val="21"/>
    <w:qFormat/>
    <w:uiPriority w:val="0"/>
    <w:pPr>
      <w:autoSpaceDE w:val="0"/>
      <w:autoSpaceDN w:val="0"/>
    </w:pPr>
    <w:rPr>
      <w:rFonts w:hint="eastAsia" w:ascii="宋体"/>
      <w:sz w:val="24"/>
    </w:rPr>
  </w:style>
  <w:style w:type="paragraph" w:customStyle="1" w:styleId="2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9">
    <w:name w:val="样式 标题 2"/>
    <w:basedOn w:val="3"/>
    <w:qFormat/>
    <w:uiPriority w:val="0"/>
    <w:pPr>
      <w:spacing w:beforeLines="0" w:afterLines="0"/>
    </w:pPr>
    <w:rPr>
      <w:rFonts w:ascii="Arial" w:hAnsi="Arial" w:eastAsia="宋体" w:cs="宋体"/>
      <w:snapToGrid/>
      <w:kern w:val="2"/>
      <w:szCs w:val="32"/>
      <w:lang w:val="zh-CN"/>
    </w:rPr>
  </w:style>
  <w:style w:type="paragraph" w:customStyle="1" w:styleId="3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p0"/>
    <w:basedOn w:val="1"/>
    <w:qFormat/>
    <w:uiPriority w:val="0"/>
    <w:pPr>
      <w:widowControl/>
    </w:pPr>
    <w:rPr>
      <w:kern w:val="0"/>
      <w:szCs w:val="21"/>
    </w:rPr>
  </w:style>
  <w:style w:type="character" w:customStyle="1" w:styleId="32">
    <w:name w:val="批注框文本 字符"/>
    <w:basedOn w:val="24"/>
    <w:link w:val="13"/>
    <w:qFormat/>
    <w:uiPriority w:val="0"/>
    <w:rPr>
      <w:rFonts w:ascii="Calibri" w:hAnsi="Calibri"/>
      <w:kern w:val="2"/>
      <w:sz w:val="18"/>
      <w:szCs w:val="18"/>
    </w:rPr>
  </w:style>
  <w:style w:type="paragraph" w:customStyle="1" w:styleId="33">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4">
    <w:name w:val="表头 Char Char Char"/>
    <w:basedOn w:val="24"/>
    <w:qFormat/>
    <w:uiPriority w:val="0"/>
    <w:rPr>
      <w:rFonts w:ascii="宋体" w:hAnsi="Tahoma" w:eastAsia="宋体"/>
      <w:snapToGrid w:val="0"/>
      <w:spacing w:val="6"/>
      <w:kern w:val="10"/>
      <w:sz w:val="24"/>
    </w:rPr>
  </w:style>
  <w:style w:type="paragraph" w:customStyle="1" w:styleId="35">
    <w:name w:val="表格居中"/>
    <w:basedOn w:val="36"/>
    <w:qFormat/>
    <w:uiPriority w:val="0"/>
    <w:pPr>
      <w:jc w:val="center"/>
    </w:pPr>
  </w:style>
  <w:style w:type="paragraph" w:customStyle="1" w:styleId="36">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7">
    <w:name w:val="伟灿工贸-表格文字"/>
    <w:basedOn w:val="1"/>
    <w:qFormat/>
    <w:uiPriority w:val="0"/>
    <w:pPr>
      <w:jc w:val="center"/>
    </w:pPr>
    <w:rPr>
      <w:rFonts w:hint="eastAsia" w:ascii="宋体" w:hAnsi="宋体" w:cs="宋体"/>
      <w:szCs w:val="21"/>
    </w:rPr>
  </w:style>
  <w:style w:type="paragraph" w:customStyle="1" w:styleId="38">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39">
    <w:name w:val="表名、图名"/>
    <w:basedOn w:val="1"/>
    <w:next w:val="1"/>
    <w:qFormat/>
    <w:uiPriority w:val="0"/>
    <w:pPr>
      <w:jc w:val="center"/>
    </w:pPr>
    <w:rPr>
      <w:b/>
      <w:bCs/>
    </w:rPr>
  </w:style>
  <w:style w:type="paragraph" w:customStyle="1" w:styleId="40">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1">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2">
    <w:name w:val="工艺序号"/>
    <w:basedOn w:val="1"/>
    <w:qFormat/>
    <w:uiPriority w:val="0"/>
    <w:pPr>
      <w:numPr>
        <w:ilvl w:val="0"/>
        <w:numId w:val="1"/>
      </w:numPr>
    </w:pPr>
    <w:rPr>
      <w:b/>
      <w:bCs/>
    </w:rPr>
  </w:style>
  <w:style w:type="paragraph" w:customStyle="1" w:styleId="43">
    <w:name w:val="伟灿-表格文字"/>
    <w:basedOn w:val="1"/>
    <w:qFormat/>
    <w:uiPriority w:val="0"/>
    <w:pPr>
      <w:jc w:val="center"/>
    </w:pPr>
    <w:rPr>
      <w:rFonts w:hint="eastAsia" w:ascii="宋体" w:hAnsi="宋体" w:cs="宋体"/>
      <w:szCs w:val="21"/>
    </w:rPr>
  </w:style>
  <w:style w:type="paragraph" w:styleId="44">
    <w:name w:val="List Paragraph"/>
    <w:basedOn w:val="1"/>
    <w:qFormat/>
    <w:uiPriority w:val="99"/>
    <w:pPr>
      <w:ind w:firstLine="420" w:firstLineChars="200"/>
    </w:pPr>
  </w:style>
  <w:style w:type="paragraph" w:customStyle="1" w:styleId="45">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6">
    <w:name w:val="日期 字符"/>
    <w:basedOn w:val="24"/>
    <w:link w:val="11"/>
    <w:qFormat/>
    <w:uiPriority w:val="0"/>
    <w:rPr>
      <w:b/>
      <w:bCs/>
      <w:kern w:val="2"/>
      <w:sz w:val="28"/>
      <w:szCs w:val="24"/>
    </w:rPr>
  </w:style>
  <w:style w:type="paragraph" w:customStyle="1" w:styleId="47">
    <w:name w:val="k-正文序列"/>
    <w:basedOn w:val="1"/>
    <w:qFormat/>
    <w:uiPriority w:val="0"/>
    <w:pPr>
      <w:numPr>
        <w:ilvl w:val="0"/>
        <w:numId w:val="2"/>
      </w:numPr>
    </w:pPr>
    <w:rPr>
      <w:rFonts w:hint="eastAsia" w:ascii="Times New Roman" w:hAnsi="Times New Roman"/>
    </w:rPr>
  </w:style>
  <w:style w:type="paragraph" w:customStyle="1" w:styleId="48">
    <w:name w:val="05现表题"/>
    <w:basedOn w:val="1"/>
    <w:link w:val="49"/>
    <w:qFormat/>
    <w:uiPriority w:val="0"/>
    <w:pPr>
      <w:jc w:val="center"/>
    </w:pPr>
    <w:rPr>
      <w:rFonts w:ascii="宋体" w:hAnsi="宋体"/>
      <w:b/>
      <w:bCs/>
      <w:sz w:val="24"/>
      <w:szCs w:val="28"/>
      <w:lang w:val="zh-CN"/>
    </w:rPr>
  </w:style>
  <w:style w:type="character" w:customStyle="1" w:styleId="49">
    <w:name w:val="05现表题 字符"/>
    <w:link w:val="48"/>
    <w:qFormat/>
    <w:uiPriority w:val="0"/>
    <w:rPr>
      <w:rFonts w:ascii="宋体" w:hAnsi="宋体"/>
      <w:b/>
      <w:bCs/>
      <w:kern w:val="2"/>
      <w:sz w:val="24"/>
      <w:szCs w:val="28"/>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7</Pages>
  <Words>1152</Words>
  <Characters>1339</Characters>
  <Lines>10</Lines>
  <Paragraphs>2</Paragraphs>
  <TotalTime>0</TotalTime>
  <ScaleCrop>false</ScaleCrop>
  <LinksUpToDate>false</LinksUpToDate>
  <CharactersWithSpaces>1339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2025-10-24T01:32:12Z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CF4A7C9B14FA44EBAF6ABBFE76CFD9FE_13</vt:lpwstr>
  </property>
  <property fmtid="{D5CDD505-2E9C-101B-9397-08002B2CF9AE}" pid="4" name="KSOTemplateDocerSaveRecord">
    <vt:lpwstr>eyJoZGlkIjoiNDgzMjdiZTZhYWEwMDUyMzMwMzdhZWM2ZmNjMGMzMDkiLCJ1c2VySWQiOiI1NzcyNjAwMzgifQ==</vt:lpwstr>
  </property>
</Properties>
</file>