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23"/>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31"/>
        <w:gridCol w:w="840"/>
        <w:gridCol w:w="5878"/>
        <w:gridCol w:w="2219"/>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82FB0BF">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项目名称</w:t>
            </w:r>
          </w:p>
        </w:tc>
        <w:tc>
          <w:tcPr>
            <w:tcW w:w="8937" w:type="dxa"/>
            <w:gridSpan w:val="3"/>
            <w:tcBorders>
              <w:tl2br w:val="nil"/>
              <w:tr2bl w:val="nil"/>
            </w:tcBorders>
            <w:shd w:val="clear" w:color="auto" w:fill="FFFFFF"/>
            <w:vAlign w:val="center"/>
          </w:tcPr>
          <w:p w14:paraId="61A650FF">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lang w:eastAsia="zh-CN"/>
              </w:rPr>
              <w:t>全南县富安加油站安全设施符合性诊断及整改设计安全设施验收评价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232A0674">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完成时间</w:t>
            </w:r>
          </w:p>
        </w:tc>
        <w:tc>
          <w:tcPr>
            <w:tcW w:w="8937"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color w:val="auto"/>
                <w:sz w:val="24"/>
                <w:lang w:val="en-US" w:eastAsia="zh-CN"/>
              </w:rPr>
            </w:pPr>
            <w:r>
              <w:rPr>
                <w:rFonts w:hint="eastAsia" w:ascii="宋体" w:hAnsi="宋体" w:cs="宋体"/>
                <w:color w:val="auto"/>
                <w:sz w:val="24"/>
              </w:rPr>
              <w:t>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9</w:t>
            </w:r>
            <w:r>
              <w:rPr>
                <w:rFonts w:hint="eastAsia" w:ascii="宋体" w:hAnsi="宋体" w:cs="宋体"/>
                <w:color w:val="auto"/>
                <w:sz w:val="24"/>
              </w:rPr>
              <w:t>月</w:t>
            </w:r>
            <w:r>
              <w:rPr>
                <w:rFonts w:hint="eastAsia" w:ascii="宋体" w:hAnsi="宋体" w:cs="宋体"/>
                <w:color w:val="auto"/>
                <w:sz w:val="24"/>
                <w:lang w:val="en-US" w:eastAsia="zh-CN"/>
              </w:rPr>
              <w:t>19日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68" w:type="dxa"/>
            <w:gridSpan w:val="4"/>
            <w:tcBorders>
              <w:tl2br w:val="nil"/>
              <w:tr2bl w:val="nil"/>
            </w:tcBorders>
            <w:shd w:val="clear" w:color="auto" w:fill="FFFFFF"/>
            <w:vAlign w:val="center"/>
          </w:tcPr>
          <w:p w14:paraId="3EE647F2">
            <w:pPr>
              <w:widowControl/>
              <w:spacing w:after="150"/>
              <w:jc w:val="center"/>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0B93473">
            <w:pPr>
              <w:jc w:val="center"/>
              <w:rPr>
                <w:rFonts w:ascii="宋体" w:hAnsi="宋体" w:cs="宋体"/>
                <w:color w:val="auto"/>
                <w:sz w:val="24"/>
              </w:rPr>
            </w:pPr>
          </w:p>
        </w:tc>
        <w:tc>
          <w:tcPr>
            <w:tcW w:w="840" w:type="dxa"/>
            <w:tcBorders>
              <w:tl2br w:val="nil"/>
              <w:tr2bl w:val="nil"/>
            </w:tcBorders>
            <w:shd w:val="clear" w:color="auto" w:fill="FFFFFF"/>
            <w:vAlign w:val="center"/>
          </w:tcPr>
          <w:p w14:paraId="476FDDF2">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姓名</w:t>
            </w:r>
          </w:p>
        </w:tc>
        <w:tc>
          <w:tcPr>
            <w:tcW w:w="5878" w:type="dxa"/>
            <w:tcBorders>
              <w:tl2br w:val="nil"/>
              <w:tr2bl w:val="nil"/>
            </w:tcBorders>
            <w:shd w:val="clear" w:color="auto" w:fill="FFFFFF"/>
            <w:vAlign w:val="center"/>
          </w:tcPr>
          <w:p w14:paraId="41DE2DD7">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资格证书号</w:t>
            </w:r>
          </w:p>
        </w:tc>
        <w:tc>
          <w:tcPr>
            <w:tcW w:w="2219" w:type="dxa"/>
            <w:tcBorders>
              <w:tl2br w:val="nil"/>
              <w:tr2bl w:val="nil"/>
            </w:tcBorders>
            <w:shd w:val="clear" w:color="auto" w:fill="FFFFFF"/>
            <w:vAlign w:val="center"/>
          </w:tcPr>
          <w:p w14:paraId="48A34EEA">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31" w:type="dxa"/>
            <w:tcBorders>
              <w:tl2br w:val="nil"/>
              <w:tr2bl w:val="nil"/>
            </w:tcBorders>
            <w:shd w:val="clear" w:color="auto" w:fill="FFFFFF"/>
            <w:vAlign w:val="center"/>
          </w:tcPr>
          <w:p w14:paraId="1FB23008">
            <w:pPr>
              <w:jc w:val="center"/>
              <w:rPr>
                <w:rFonts w:ascii="宋体" w:hAnsi="宋体" w:cs="宋体"/>
                <w:color w:val="auto"/>
                <w:sz w:val="24"/>
              </w:rPr>
            </w:pPr>
            <w:r>
              <w:rPr>
                <w:rFonts w:hint="eastAsia" w:ascii="宋体" w:hAnsi="宋体" w:cs="宋体"/>
                <w:color w:val="auto"/>
                <w:sz w:val="24"/>
              </w:rPr>
              <w:t>项目负责人</w:t>
            </w:r>
          </w:p>
        </w:tc>
        <w:tc>
          <w:tcPr>
            <w:tcW w:w="840"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徐顺星</w:t>
            </w:r>
          </w:p>
        </w:tc>
        <w:tc>
          <w:tcPr>
            <w:tcW w:w="5878"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S011041000110192002229</w:t>
            </w:r>
          </w:p>
        </w:tc>
        <w:tc>
          <w:tcPr>
            <w:tcW w:w="2219"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31" w:type="dxa"/>
            <w:vMerge w:val="restart"/>
            <w:tcBorders>
              <w:tl2br w:val="nil"/>
              <w:tr2bl w:val="nil"/>
            </w:tcBorders>
            <w:shd w:val="clear" w:color="auto" w:fill="FFFFFF"/>
            <w:vAlign w:val="center"/>
          </w:tcPr>
          <w:p w14:paraId="4A4D7CCA">
            <w:pPr>
              <w:jc w:val="center"/>
              <w:rPr>
                <w:rFonts w:ascii="宋体" w:hAnsi="宋体" w:cs="宋体"/>
                <w:color w:val="auto"/>
                <w:sz w:val="24"/>
              </w:rPr>
            </w:pPr>
            <w:r>
              <w:rPr>
                <w:rFonts w:hint="eastAsia" w:ascii="宋体" w:hAnsi="宋体" w:cs="宋体"/>
                <w:color w:val="auto"/>
                <w:sz w:val="24"/>
              </w:rPr>
              <w:t>项目组成员</w:t>
            </w:r>
          </w:p>
        </w:tc>
        <w:tc>
          <w:tcPr>
            <w:tcW w:w="840"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乔贯德</w:t>
            </w:r>
          </w:p>
        </w:tc>
        <w:tc>
          <w:tcPr>
            <w:tcW w:w="5878"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1700000000300087</w:t>
            </w:r>
          </w:p>
        </w:tc>
        <w:tc>
          <w:tcPr>
            <w:tcW w:w="2219"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1894849F">
            <w:pPr>
              <w:jc w:val="center"/>
              <w:rPr>
                <w:rFonts w:ascii="宋体" w:hAnsi="宋体" w:cs="宋体"/>
                <w:color w:val="auto"/>
                <w:sz w:val="24"/>
              </w:rPr>
            </w:pPr>
          </w:p>
        </w:tc>
        <w:tc>
          <w:tcPr>
            <w:tcW w:w="840"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舒斌</w:t>
            </w:r>
          </w:p>
        </w:tc>
        <w:tc>
          <w:tcPr>
            <w:tcW w:w="5878"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0800000000205889</w:t>
            </w:r>
            <w:r>
              <w:rPr>
                <w:rFonts w:hint="default" w:ascii="Times New Roman" w:hAnsi="Times New Roman" w:eastAsia="宋体" w:cs="Times New Roman"/>
                <w:sz w:val="24"/>
                <w:lang w:val="en-US" w:eastAsia="zh-CN"/>
              </w:rPr>
              <w:t xml:space="preserve">  </w:t>
            </w:r>
          </w:p>
        </w:tc>
        <w:tc>
          <w:tcPr>
            <w:tcW w:w="2219"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218282FC">
            <w:pPr>
              <w:jc w:val="center"/>
              <w:rPr>
                <w:rFonts w:ascii="宋体" w:hAnsi="宋体" w:cs="宋体"/>
                <w:color w:val="auto"/>
                <w:sz w:val="24"/>
              </w:rPr>
            </w:pPr>
          </w:p>
        </w:tc>
        <w:tc>
          <w:tcPr>
            <w:tcW w:w="840"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5878"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1600000000200809</w:t>
            </w:r>
          </w:p>
        </w:tc>
        <w:tc>
          <w:tcPr>
            <w:tcW w:w="2219"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78FC19D6">
            <w:pPr>
              <w:jc w:val="center"/>
              <w:rPr>
                <w:rFonts w:ascii="宋体" w:hAnsi="宋体" w:cs="宋体"/>
                <w:color w:val="auto"/>
                <w:sz w:val="24"/>
              </w:rPr>
            </w:pPr>
          </w:p>
        </w:tc>
        <w:tc>
          <w:tcPr>
            <w:tcW w:w="840"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张晋慧</w:t>
            </w:r>
          </w:p>
        </w:tc>
        <w:tc>
          <w:tcPr>
            <w:tcW w:w="5878"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w:t>
            </w:r>
            <w:r>
              <w:rPr>
                <w:rFonts w:hint="eastAsia" w:ascii="Times New Roman" w:hAnsi="Times New Roman" w:eastAsia="宋体" w:cs="Times New Roman"/>
                <w:sz w:val="24"/>
                <w:lang w:val="en-US" w:eastAsia="zh-CN"/>
              </w:rPr>
              <w:t>00000000302946</w:t>
            </w:r>
            <w:bookmarkStart w:id="2" w:name="_GoBack"/>
            <w:bookmarkEnd w:id="2"/>
          </w:p>
        </w:tc>
        <w:tc>
          <w:tcPr>
            <w:tcW w:w="2219"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 xml:space="preserve"> 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63B7C362">
            <w:pPr>
              <w:jc w:val="center"/>
              <w:rPr>
                <w:rFonts w:ascii="宋体" w:hAnsi="宋体" w:cs="宋体"/>
                <w:color w:val="auto"/>
                <w:sz w:val="24"/>
              </w:rPr>
            </w:pPr>
          </w:p>
        </w:tc>
        <w:tc>
          <w:tcPr>
            <w:tcW w:w="840" w:type="dxa"/>
            <w:tcBorders>
              <w:tl2br w:val="nil"/>
              <w:tr2bl w:val="nil"/>
            </w:tcBorders>
            <w:shd w:val="clear" w:color="auto" w:fill="auto"/>
            <w:vAlign w:val="center"/>
          </w:tcPr>
          <w:p w14:paraId="2EB62A00">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蓝家财</w:t>
            </w:r>
          </w:p>
        </w:tc>
        <w:tc>
          <w:tcPr>
            <w:tcW w:w="5878" w:type="dxa"/>
            <w:tcBorders>
              <w:tl2br w:val="nil"/>
              <w:tr2bl w:val="nil"/>
            </w:tcBorders>
            <w:shd w:val="clear" w:color="auto" w:fill="FFFFFF"/>
            <w:vAlign w:val="center"/>
          </w:tcPr>
          <w:p w14:paraId="5559F345">
            <w:pPr>
              <w:spacing w:before="156" w:beforeLines="50" w:after="156" w:afterLines="50" w:line="400" w:lineRule="exact"/>
              <w:ind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CAWS530000230200862</w:t>
            </w:r>
          </w:p>
        </w:tc>
        <w:tc>
          <w:tcPr>
            <w:tcW w:w="2219" w:type="dxa"/>
            <w:tcBorders>
              <w:tl2br w:val="nil"/>
              <w:tr2bl w:val="nil"/>
            </w:tcBorders>
            <w:shd w:val="clear" w:color="auto" w:fill="FFFFFF"/>
            <w:vAlign w:val="center"/>
          </w:tcPr>
          <w:p w14:paraId="4946EFE4">
            <w:pPr>
              <w:spacing w:before="156" w:beforeLines="50" w:after="156" w:afterLines="50" w:line="400" w:lineRule="exact"/>
              <w:ind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393FDAF">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技术专家</w:t>
            </w:r>
          </w:p>
        </w:tc>
        <w:tc>
          <w:tcPr>
            <w:tcW w:w="8937" w:type="dxa"/>
            <w:gridSpan w:val="3"/>
            <w:tcBorders>
              <w:tl2br w:val="nil"/>
              <w:tr2bl w:val="nil"/>
            </w:tcBorders>
            <w:shd w:val="clear" w:color="auto" w:fill="FFFFFF"/>
            <w:vAlign w:val="center"/>
          </w:tcPr>
          <w:p w14:paraId="06BC571F">
            <w:pPr>
              <w:jc w:val="center"/>
              <w:rPr>
                <w:rFonts w:ascii="宋体" w:hAnsi="宋体" w:cs="宋体"/>
                <w:color w:val="auto"/>
                <w:sz w:val="24"/>
              </w:rPr>
            </w:pPr>
            <w:r>
              <w:rPr>
                <w:rFonts w:hint="eastAsia" w:ascii="宋体" w:hAnsi="宋体" w:cs="宋体"/>
                <w:color w:val="auto"/>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783" w:hRule="atLeast"/>
          <w:jc w:val="center"/>
        </w:trPr>
        <w:tc>
          <w:tcPr>
            <w:tcW w:w="531" w:type="dxa"/>
            <w:tcBorders>
              <w:tl2br w:val="nil"/>
              <w:tr2bl w:val="nil"/>
            </w:tcBorders>
            <w:shd w:val="clear" w:color="auto" w:fill="FFFFFF"/>
            <w:vAlign w:val="center"/>
          </w:tcPr>
          <w:p w14:paraId="29ED6B3E">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现场勘察人员及时间</w:t>
            </w:r>
          </w:p>
        </w:tc>
        <w:tc>
          <w:tcPr>
            <w:tcW w:w="8937"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eastAsia="宋体" w:cs="Times New Roman"/>
                <w:color w:val="auto"/>
                <w:sz w:val="24"/>
                <w:lang w:val="en-US" w:eastAsia="zh-CN"/>
              </w:rPr>
              <w:t>徐顺星</w:t>
            </w:r>
            <w:r>
              <w:rPr>
                <w:rFonts w:hint="eastAsia"/>
                <w:color w:val="auto"/>
                <w:sz w:val="24"/>
              </w:rPr>
              <w:t>、</w:t>
            </w:r>
            <w:r>
              <w:rPr>
                <w:rFonts w:hint="eastAsia" w:ascii="Calibri" w:hAnsi="Calibri" w:eastAsia="宋体" w:cs="Times New Roman"/>
                <w:color w:val="auto"/>
                <w:sz w:val="24"/>
                <w:szCs w:val="24"/>
                <w:lang w:val="en-US" w:eastAsia="zh-CN"/>
              </w:rPr>
              <w:t>蓝家财</w:t>
            </w:r>
            <w:r>
              <w:rPr>
                <w:rFonts w:hint="eastAsia"/>
                <w:color w:val="auto"/>
                <w:sz w:val="24"/>
              </w:rPr>
              <w:t xml:space="preserve"> </w:t>
            </w:r>
            <w:r>
              <w:rPr>
                <w:rFonts w:hint="eastAsia"/>
                <w:color w:val="auto"/>
                <w:sz w:val="24"/>
                <w:lang w:val="en-US" w:eastAsia="zh-CN"/>
              </w:rPr>
              <w:t>2025年8月17日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0" w:hRule="atLeast"/>
          <w:jc w:val="center"/>
        </w:trPr>
        <w:tc>
          <w:tcPr>
            <w:tcW w:w="531" w:type="dxa"/>
            <w:tcBorders>
              <w:tl2br w:val="nil"/>
              <w:tr2bl w:val="nil"/>
            </w:tcBorders>
            <w:shd w:val="clear" w:color="auto" w:fill="FFFFFF"/>
            <w:vAlign w:val="center"/>
          </w:tcPr>
          <w:p w14:paraId="716803F2">
            <w:pPr>
              <w:widowControl/>
              <w:spacing w:after="150"/>
              <w:jc w:val="center"/>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现场核查的人员和时间</w:t>
            </w:r>
          </w:p>
        </w:tc>
        <w:tc>
          <w:tcPr>
            <w:tcW w:w="8937"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cs="Times New Roman"/>
                <w:color w:val="auto"/>
                <w:sz w:val="24"/>
                <w:lang w:val="en-US" w:eastAsia="zh-CN"/>
              </w:rPr>
              <w:t xml:space="preserve">徐顺星、蓝家财 </w:t>
            </w:r>
            <w:r>
              <w:rPr>
                <w:rFonts w:hint="eastAsia"/>
                <w:color w:val="auto"/>
                <w:sz w:val="24"/>
                <w:lang w:val="en-US" w:eastAsia="zh-CN"/>
              </w:rPr>
              <w:t>2025年8月19日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79FDD196">
            <w:pPr>
              <w:widowControl/>
              <w:spacing w:after="150"/>
              <w:jc w:val="center"/>
              <w:rPr>
                <w:rFonts w:ascii="宋体" w:hAnsi="宋体" w:cs="宋体"/>
                <w:color w:val="auto"/>
                <w:sz w:val="24"/>
              </w:rPr>
            </w:pPr>
            <w:r>
              <w:rPr>
                <w:rFonts w:hint="eastAsia" w:ascii="宋体" w:hAnsi="宋体" w:cs="宋体"/>
                <w:color w:val="auto"/>
                <w:kern w:val="0"/>
                <w:sz w:val="24"/>
                <w:shd w:val="clear" w:color="auto" w:fill="FFFFFF"/>
              </w:rPr>
              <w:t>项目简介</w:t>
            </w:r>
          </w:p>
        </w:tc>
        <w:tc>
          <w:tcPr>
            <w:tcW w:w="8937" w:type="dxa"/>
            <w:gridSpan w:val="3"/>
            <w:tcBorders>
              <w:tl2br w:val="nil"/>
              <w:tr2bl w:val="nil"/>
            </w:tcBorders>
            <w:shd w:val="clear" w:color="auto" w:fill="FFFFFF"/>
          </w:tcPr>
          <w:p w14:paraId="3B3FD044">
            <w:pPr>
              <w:adjustRightInd w:val="0"/>
              <w:snapToGrid w:val="0"/>
              <w:spacing w:line="360" w:lineRule="auto"/>
              <w:ind w:firstLine="420" w:firstLineChars="200"/>
              <w:rPr>
                <w:rFonts w:hint="eastAsia"/>
                <w:color w:val="auto"/>
                <w:sz w:val="21"/>
                <w:szCs w:val="21"/>
              </w:rPr>
            </w:pPr>
            <w:bookmarkStart w:id="0" w:name="OLE_LINK43"/>
            <w:r>
              <w:rPr>
                <w:rFonts w:hint="eastAsia" w:ascii="Times New Roman" w:hAnsi="Times New Roman" w:eastAsia="宋体" w:cs="Courier New"/>
                <w:bCs/>
                <w:color w:val="auto"/>
                <w:kern w:val="0"/>
                <w:sz w:val="21"/>
                <w:szCs w:val="21"/>
                <w:lang w:val="zh-TW"/>
              </w:rPr>
              <w:t>全南县富安加油站</w:t>
            </w:r>
            <w:r>
              <w:rPr>
                <w:rFonts w:hint="eastAsia" w:ascii="Times New Roman" w:hAnsi="Times New Roman" w:eastAsia="宋体" w:cs="Courier New"/>
                <w:bCs/>
                <w:color w:val="auto"/>
                <w:kern w:val="0"/>
                <w:sz w:val="21"/>
                <w:szCs w:val="21"/>
                <w:lang w:val="en-US" w:eastAsia="zh-CN"/>
              </w:rPr>
              <w:t>建站时名为“全南县石油公司茅山加油站”，2009年1月更名为：“</w:t>
            </w:r>
            <w:r>
              <w:rPr>
                <w:rFonts w:hint="eastAsia" w:ascii="Times New Roman" w:hAnsi="Times New Roman" w:eastAsia="宋体" w:cs="Courier New"/>
                <w:bCs/>
                <w:color w:val="auto"/>
                <w:kern w:val="0"/>
                <w:sz w:val="21"/>
                <w:szCs w:val="21"/>
                <w:lang w:val="zh-TW"/>
              </w:rPr>
              <w:t>富安加油站</w:t>
            </w:r>
            <w:r>
              <w:rPr>
                <w:rFonts w:hint="eastAsia" w:ascii="Times New Roman" w:hAnsi="Times New Roman" w:eastAsia="宋体" w:cs="Courier New"/>
                <w:bCs/>
                <w:color w:val="auto"/>
                <w:kern w:val="0"/>
                <w:sz w:val="21"/>
                <w:szCs w:val="21"/>
                <w:lang w:val="en-US" w:eastAsia="zh-CN"/>
              </w:rPr>
              <w:t>”。</w:t>
            </w:r>
            <w:r>
              <w:rPr>
                <w:rFonts w:hint="eastAsia" w:ascii="Times New Roman" w:hAnsi="Times New Roman" w:eastAsia="宋体" w:cs="Courier New"/>
                <w:bCs/>
                <w:color w:val="auto"/>
                <w:kern w:val="0"/>
                <w:sz w:val="21"/>
                <w:szCs w:val="21"/>
                <w:lang w:val="zh-TW"/>
              </w:rPr>
              <w:t>2025年06月10日</w:t>
            </w:r>
            <w:r>
              <w:rPr>
                <w:rFonts w:hint="eastAsia" w:ascii="Times New Roman" w:hAnsi="Times New Roman" w:eastAsia="宋体" w:cs="Courier New"/>
                <w:bCs/>
                <w:color w:val="auto"/>
                <w:kern w:val="0"/>
                <w:sz w:val="21"/>
                <w:szCs w:val="21"/>
                <w:lang w:val="en-US" w:eastAsia="zh-CN"/>
              </w:rPr>
              <w:t>由全南县行政审批局换发了新营业执照</w:t>
            </w:r>
            <w:r>
              <w:rPr>
                <w:rFonts w:hint="eastAsia" w:ascii="Times New Roman" w:hAnsi="Times New Roman" w:eastAsia="宋体" w:cs="Courier New"/>
                <w:bCs/>
                <w:color w:val="auto"/>
                <w:kern w:val="0"/>
                <w:sz w:val="21"/>
                <w:szCs w:val="21"/>
                <w:lang w:val="zh-TW"/>
              </w:rPr>
              <w:t>，</w:t>
            </w:r>
            <w:r>
              <w:rPr>
                <w:rFonts w:hint="eastAsia" w:ascii="Times New Roman" w:hAnsi="Times New Roman" w:eastAsia="宋体" w:cs="Courier New"/>
                <w:bCs/>
                <w:color w:val="auto"/>
                <w:kern w:val="0"/>
                <w:sz w:val="21"/>
                <w:szCs w:val="21"/>
                <w:lang w:val="en-US" w:eastAsia="zh-CN"/>
              </w:rPr>
              <w:t>名称变更为“</w:t>
            </w:r>
            <w:r>
              <w:rPr>
                <w:rFonts w:hint="eastAsia" w:ascii="Times New Roman" w:hAnsi="Times New Roman" w:eastAsia="宋体" w:cs="Courier New"/>
                <w:bCs/>
                <w:color w:val="auto"/>
                <w:kern w:val="0"/>
                <w:sz w:val="21"/>
                <w:szCs w:val="21"/>
                <w:lang w:val="zh-TW"/>
              </w:rPr>
              <w:t>全南县富安加油站</w:t>
            </w:r>
            <w:r>
              <w:rPr>
                <w:rFonts w:hint="eastAsia" w:ascii="Times New Roman" w:hAnsi="Times New Roman" w:eastAsia="宋体" w:cs="Courier New"/>
                <w:bCs/>
                <w:color w:val="auto"/>
                <w:kern w:val="0"/>
                <w:sz w:val="21"/>
                <w:szCs w:val="21"/>
                <w:lang w:val="en-US" w:eastAsia="zh-CN"/>
              </w:rPr>
              <w:t>”为</w:t>
            </w:r>
            <w:r>
              <w:rPr>
                <w:rFonts w:hint="eastAsia" w:ascii="Times New Roman" w:hAnsi="Times New Roman" w:eastAsia="宋体" w:cs="Courier New"/>
                <w:bCs/>
                <w:color w:val="auto"/>
                <w:kern w:val="0"/>
                <w:sz w:val="21"/>
                <w:szCs w:val="21"/>
                <w:lang w:val="zh-TW"/>
              </w:rPr>
              <w:t>注册地位于江西省赣州市全南县茅山林场S549省道北侧，统一社会信用代码：</w:t>
            </w:r>
            <w:r>
              <w:rPr>
                <w:rFonts w:hint="eastAsia" w:cs="Courier New"/>
                <w:bCs/>
                <w:color w:val="auto"/>
                <w:kern w:val="0"/>
                <w:sz w:val="21"/>
                <w:szCs w:val="21"/>
              </w:rPr>
              <w:t>91360729MAEM5ENK8T，投资</w:t>
            </w:r>
            <w:r>
              <w:rPr>
                <w:rFonts w:hint="eastAsia" w:cs="Courier New"/>
                <w:bCs/>
                <w:color w:val="auto"/>
                <w:kern w:val="0"/>
                <w:sz w:val="21"/>
                <w:szCs w:val="21"/>
                <w:lang w:val="zh-TW"/>
              </w:rPr>
              <w:t>人为</w:t>
            </w:r>
            <w:r>
              <w:rPr>
                <w:rFonts w:hint="eastAsia" w:cs="Courier New"/>
                <w:bCs/>
                <w:color w:val="auto"/>
                <w:kern w:val="0"/>
                <w:sz w:val="21"/>
                <w:szCs w:val="21"/>
              </w:rPr>
              <w:t>林玲</w:t>
            </w:r>
            <w:r>
              <w:rPr>
                <w:rFonts w:hint="eastAsia" w:cs="Courier New"/>
                <w:bCs/>
                <w:color w:val="auto"/>
                <w:kern w:val="0"/>
                <w:sz w:val="21"/>
                <w:szCs w:val="21"/>
                <w:lang w:val="zh-TW"/>
              </w:rPr>
              <w:t>。</w:t>
            </w:r>
            <w:r>
              <w:rPr>
                <w:rFonts w:hint="eastAsia"/>
                <w:color w:val="auto"/>
                <w:sz w:val="21"/>
                <w:szCs w:val="21"/>
              </w:rPr>
              <w:t>企业类型为：个人独资企业，经营许可范围为：汽油、柴油等。</w:t>
            </w:r>
          </w:p>
          <w:p w14:paraId="7C042BBA">
            <w:pPr>
              <w:adjustRightInd w:val="0"/>
              <w:snapToGrid w:val="0"/>
              <w:spacing w:line="360" w:lineRule="auto"/>
              <w:ind w:firstLine="420" w:firstLineChars="200"/>
              <w:rPr>
                <w:rFonts w:hint="eastAsia"/>
                <w:color w:val="auto"/>
                <w:sz w:val="21"/>
                <w:szCs w:val="21"/>
              </w:rPr>
            </w:pPr>
            <w:r>
              <w:rPr>
                <w:rFonts w:hint="eastAsia"/>
                <w:color w:val="auto"/>
                <w:sz w:val="21"/>
                <w:szCs w:val="21"/>
              </w:rPr>
              <w:t>2003年11月7日，该加油站依法取得了全南县公安消防大队下发的《建设工程消防验收意见书》，文号：全消验第[2003]第16号。</w:t>
            </w:r>
          </w:p>
          <w:p w14:paraId="4B0A2910">
            <w:pPr>
              <w:adjustRightInd w:val="0"/>
              <w:snapToGrid w:val="0"/>
              <w:spacing w:line="360" w:lineRule="auto"/>
              <w:ind w:firstLine="420" w:firstLineChars="200"/>
              <w:rPr>
                <w:rFonts w:hint="eastAsia"/>
                <w:color w:val="auto"/>
                <w:sz w:val="21"/>
                <w:szCs w:val="21"/>
              </w:rPr>
            </w:pPr>
            <w:r>
              <w:rPr>
                <w:rFonts w:hint="eastAsia"/>
                <w:color w:val="auto"/>
                <w:sz w:val="21"/>
                <w:szCs w:val="21"/>
              </w:rPr>
              <w:t>该加油站取得了赣州市行政审批局颁发的《危险化学品经营许可证》，证书编号：赣虔安经字[2025]000064，证书有效期至2025年10月20日止。许可经营范围：汽油、柴油，经营方式：零售（带有储存设施经营）。</w:t>
            </w:r>
          </w:p>
          <w:p w14:paraId="10E0C52F">
            <w:pPr>
              <w:adjustRightInd w:val="0"/>
              <w:snapToGrid w:val="0"/>
              <w:spacing w:line="360" w:lineRule="auto"/>
              <w:ind w:firstLine="420" w:firstLineChars="200"/>
              <w:rPr>
                <w:color w:val="auto"/>
                <w:sz w:val="21"/>
                <w:szCs w:val="21"/>
              </w:rPr>
            </w:pPr>
            <w:r>
              <w:rPr>
                <w:rFonts w:hint="eastAsia"/>
                <w:color w:val="auto"/>
                <w:sz w:val="21"/>
                <w:szCs w:val="21"/>
              </w:rPr>
              <w:t>2022年06月20日，该加油站取得了赣州市行政审批局颁发的《成品油零售经营批准证书》，证书编号：油零售证书第虔0082号</w:t>
            </w:r>
            <w:r>
              <w:rPr>
                <w:color w:val="auto"/>
                <w:sz w:val="21"/>
                <w:szCs w:val="21"/>
              </w:rPr>
              <w:t>。</w:t>
            </w:r>
          </w:p>
          <w:p w14:paraId="34A263FF">
            <w:pPr>
              <w:adjustRightInd w:val="0"/>
              <w:snapToGrid w:val="0"/>
              <w:spacing w:line="360" w:lineRule="auto"/>
              <w:ind w:firstLine="420" w:firstLineChars="200"/>
              <w:rPr>
                <w:color w:val="auto"/>
                <w:sz w:val="21"/>
                <w:szCs w:val="21"/>
              </w:rPr>
            </w:pPr>
            <w:r>
              <w:rPr>
                <w:rFonts w:hint="eastAsia"/>
                <w:color w:val="auto"/>
                <w:sz w:val="21"/>
                <w:szCs w:val="21"/>
              </w:rPr>
              <w:t>全南县富安加油站危险化学品经营</w:t>
            </w:r>
            <w:r>
              <w:rPr>
                <w:color w:val="auto"/>
                <w:sz w:val="21"/>
                <w:szCs w:val="21"/>
              </w:rPr>
              <w:t>规模为</w:t>
            </w:r>
            <w:r>
              <w:rPr>
                <w:rFonts w:hint="eastAsia"/>
                <w:color w:val="auto"/>
                <w:sz w:val="21"/>
                <w:szCs w:val="21"/>
              </w:rPr>
              <w:t>1台25</w:t>
            </w:r>
            <w:r>
              <w:rPr>
                <w:color w:val="auto"/>
                <w:sz w:val="21"/>
                <w:szCs w:val="21"/>
              </w:rPr>
              <w:t>m</w:t>
            </w:r>
            <w:r>
              <w:rPr>
                <w:color w:val="auto"/>
                <w:sz w:val="21"/>
                <w:szCs w:val="21"/>
                <w:vertAlign w:val="superscript"/>
              </w:rPr>
              <w:t>3</w:t>
            </w:r>
            <w:r>
              <w:rPr>
                <w:rFonts w:hint="eastAsia"/>
                <w:color w:val="auto"/>
                <w:sz w:val="21"/>
                <w:szCs w:val="21"/>
              </w:rPr>
              <w:t>92#</w:t>
            </w:r>
            <w:r>
              <w:rPr>
                <w:color w:val="auto"/>
                <w:sz w:val="21"/>
                <w:szCs w:val="21"/>
              </w:rPr>
              <w:t>汽油罐</w:t>
            </w:r>
            <w:r>
              <w:rPr>
                <w:rFonts w:hint="eastAsia"/>
                <w:color w:val="auto"/>
                <w:sz w:val="21"/>
                <w:szCs w:val="21"/>
              </w:rPr>
              <w:t>，1台25m</w:t>
            </w:r>
            <w:r>
              <w:rPr>
                <w:rFonts w:hint="eastAsia"/>
                <w:color w:val="auto"/>
                <w:sz w:val="21"/>
                <w:szCs w:val="21"/>
                <w:vertAlign w:val="superscript"/>
              </w:rPr>
              <w:t>3</w:t>
            </w:r>
            <w:r>
              <w:rPr>
                <w:rFonts w:hint="eastAsia"/>
                <w:color w:val="auto"/>
                <w:sz w:val="21"/>
                <w:szCs w:val="21"/>
              </w:rPr>
              <w:t>柴油罐，</w:t>
            </w:r>
            <w:r>
              <w:rPr>
                <w:color w:val="auto"/>
                <w:sz w:val="21"/>
                <w:szCs w:val="21"/>
              </w:rPr>
              <w:t>油罐总容积为</w:t>
            </w:r>
            <w:r>
              <w:rPr>
                <w:rFonts w:hint="eastAsia"/>
                <w:color w:val="auto"/>
                <w:sz w:val="21"/>
                <w:szCs w:val="21"/>
              </w:rPr>
              <w:t>37.5</w:t>
            </w:r>
            <w:r>
              <w:rPr>
                <w:color w:val="auto"/>
                <w:sz w:val="21"/>
                <w:szCs w:val="21"/>
              </w:rPr>
              <w:t>m</w:t>
            </w:r>
            <w:r>
              <w:rPr>
                <w:color w:val="auto"/>
                <w:sz w:val="21"/>
                <w:szCs w:val="21"/>
                <w:vertAlign w:val="superscript"/>
              </w:rPr>
              <w:t>3</w:t>
            </w:r>
            <w:r>
              <w:rPr>
                <w:color w:val="auto"/>
                <w:sz w:val="21"/>
                <w:szCs w:val="21"/>
              </w:rPr>
              <w:t>（柴油罐容积折半计入油罐总容积），属于</w:t>
            </w:r>
            <w:r>
              <w:rPr>
                <w:rFonts w:hint="eastAsia"/>
                <w:color w:val="auto"/>
                <w:sz w:val="21"/>
                <w:szCs w:val="21"/>
              </w:rPr>
              <w:t>三级加油站</w:t>
            </w:r>
            <w:r>
              <w:rPr>
                <w:color w:val="auto"/>
                <w:sz w:val="21"/>
                <w:szCs w:val="21"/>
              </w:rPr>
              <w:t>。</w:t>
            </w:r>
            <w:bookmarkEnd w:id="0"/>
          </w:p>
          <w:p w14:paraId="3DB82FC0">
            <w:pPr>
              <w:adjustRightInd w:val="0"/>
              <w:snapToGrid w:val="0"/>
              <w:spacing w:line="360" w:lineRule="auto"/>
              <w:ind w:firstLine="420" w:firstLineChars="200"/>
              <w:rPr>
                <w:rFonts w:hint="default" w:eastAsia="宋体"/>
                <w:color w:val="auto"/>
                <w:sz w:val="24"/>
                <w:lang w:val="en-US" w:eastAsia="zh-CN"/>
              </w:rPr>
            </w:pPr>
            <w:r>
              <w:rPr>
                <w:rFonts w:hint="eastAsia"/>
                <w:color w:val="auto"/>
                <w:sz w:val="21"/>
                <w:szCs w:val="21"/>
                <w:lang w:eastAsia="zh-CN"/>
              </w:rPr>
              <w:t>受该加油站的委托，承担了该站安全现状评价工作。于2025年</w:t>
            </w:r>
            <w:r>
              <w:rPr>
                <w:rFonts w:hint="eastAsia"/>
                <w:color w:val="auto"/>
                <w:sz w:val="21"/>
                <w:szCs w:val="21"/>
                <w:lang w:val="en-US" w:eastAsia="zh-CN"/>
              </w:rPr>
              <w:t>8</w:t>
            </w:r>
            <w:r>
              <w:rPr>
                <w:rFonts w:hint="eastAsia"/>
                <w:color w:val="auto"/>
                <w:sz w:val="21"/>
                <w:szCs w:val="21"/>
                <w:lang w:eastAsia="zh-CN"/>
              </w:rPr>
              <w:t>月组成评价小组，对该项目进行了现场勘察、资料的查阅，经过收集资料，并对部分安全技术问题及资料问题进行探讨，对该项目可能存在的危险、有害因素进行辨识，分析导致事故的原因及后果，运用定性、定量的安全评价方法进行针对性评价，同时提出相应的安全对策措施及建议，得出评价结论，编制完成了本评价报告。本报告依据《安全评价通则》的有关要求进行编写。该加油站对本报告所提供的资料附件的真实性负责。</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20115CC1">
            <w:pPr>
              <w:widowControl/>
              <w:spacing w:after="150"/>
              <w:jc w:val="center"/>
              <w:rPr>
                <w:color w:val="auto"/>
              </w:rPr>
            </w:pPr>
            <w:r>
              <w:rPr>
                <w:rFonts w:hint="eastAsia"/>
                <w:color w:val="auto"/>
                <w:sz w:val="24"/>
              </w:rPr>
              <w:t>工艺流程</w:t>
            </w:r>
          </w:p>
        </w:tc>
        <w:tc>
          <w:tcPr>
            <w:tcW w:w="8937" w:type="dxa"/>
            <w:gridSpan w:val="3"/>
            <w:tcBorders>
              <w:tl2br w:val="nil"/>
              <w:tr2bl w:val="nil"/>
            </w:tcBorders>
            <w:shd w:val="clear" w:color="auto" w:fill="FFFFFF"/>
          </w:tcPr>
          <w:p w14:paraId="5E4A93A7">
            <w:pPr>
              <w:ind w:firstLine="560"/>
              <w:rPr>
                <w:color w:val="auto"/>
                <w:sz w:val="21"/>
                <w:szCs w:val="21"/>
              </w:rPr>
            </w:pPr>
            <w:bookmarkStart w:id="1" w:name="_Toc240859955"/>
            <w:r>
              <w:rPr>
                <w:color w:val="auto"/>
                <w:sz w:val="21"/>
                <w:szCs w:val="21"/>
              </w:rPr>
              <w:t>加油站经营</w:t>
            </w:r>
            <w:r>
              <w:rPr>
                <w:rFonts w:hint="eastAsia"/>
                <w:color w:val="auto"/>
                <w:sz w:val="21"/>
                <w:szCs w:val="21"/>
              </w:rPr>
              <w:t>的</w:t>
            </w:r>
            <w:r>
              <w:rPr>
                <w:color w:val="auto"/>
                <w:sz w:val="21"/>
                <w:szCs w:val="21"/>
              </w:rPr>
              <w:t>汽油，其来料运输由专业汽油运输单位及车辆负责到站，加油站不负责化学品（汽油）的道路运输。其经营工艺如下：</w:t>
            </w:r>
          </w:p>
          <w:p w14:paraId="070EC205">
            <w:pPr>
              <w:suppressAutoHyphens/>
              <w:adjustRightInd w:val="0"/>
              <w:snapToGrid w:val="0"/>
              <w:spacing w:line="500" w:lineRule="exact"/>
              <w:ind w:firstLine="420" w:firstLineChars="200"/>
              <w:textAlignment w:val="center"/>
              <w:rPr>
                <w:color w:val="auto"/>
                <w:kern w:val="28"/>
              </w:rPr>
            </w:pPr>
            <w:r>
              <w:rPr>
                <w:rFonts w:hint="eastAsia"/>
                <w:color w:val="auto"/>
                <w:kern w:val="28"/>
              </w:rPr>
              <w:t>该站采用油罐车经连通软管与油罐卸油孔连通卸油的方式卸油。装满汽油、柴油的油槽车到达加油站后，在卸油口附近停稳熄火，将连通软管与油罐车的卸油口、储罐的进油口与密闭快速接头连接好，接好静电接地报警装置，静止5min后开始卸油。油品卸完后，拆除连通软管，人工封闭好卸油口和罐车卸油口，拆除静电接地报警装置，发动油品罐车缓慢离开罐区。</w:t>
            </w:r>
          </w:p>
          <w:p w14:paraId="762B53CE">
            <w:pPr>
              <w:suppressAutoHyphens/>
              <w:adjustRightInd w:val="0"/>
              <w:snapToGrid w:val="0"/>
              <w:spacing w:line="500" w:lineRule="exact"/>
              <w:ind w:firstLine="420" w:firstLineChars="200"/>
              <w:textAlignment w:val="center"/>
              <w:rPr>
                <w:color w:val="auto"/>
                <w:kern w:val="28"/>
              </w:rPr>
            </w:pPr>
            <w:r>
              <w:rPr>
                <w:rFonts w:hint="eastAsia"/>
                <w:color w:val="auto"/>
                <w:kern w:val="28"/>
              </w:rPr>
              <w:t>汽油罐卸油油气回收：当汽油油罐车卸油时，油罐内的油气通过卸油油气回收管线进入油罐车，完成密闭式卸油过程。回收到油罐车内的油气，可由油罐车带回油库后，再经油库安装的油气回收设施回收处理。</w:t>
            </w:r>
          </w:p>
          <w:p w14:paraId="1C980C0D">
            <w:pPr>
              <w:suppressAutoHyphens/>
              <w:adjustRightInd w:val="0"/>
              <w:snapToGrid w:val="0"/>
              <w:spacing w:line="500" w:lineRule="exact"/>
              <w:ind w:firstLine="420" w:firstLineChars="200"/>
              <w:textAlignment w:val="center"/>
              <w:rPr>
                <w:rFonts w:hint="eastAsia" w:ascii="宋体" w:hAnsi="宋体" w:cs="Tahoma"/>
                <w:color w:val="auto"/>
                <w:kern w:val="28"/>
              </w:rPr>
            </w:pPr>
            <w:r>
              <w:rPr>
                <w:rFonts w:ascii="宋体" w:hAnsi="宋体" w:cs="Tahoma"/>
                <w:color w:val="auto"/>
                <w:kern w:val="28"/>
              </w:rPr>
              <w:t>汽油卸油工艺框图如下：</w:t>
            </w:r>
          </w:p>
          <w:p w14:paraId="17AF7231">
            <w:pPr>
              <w:suppressAutoHyphens/>
              <w:adjustRightInd w:val="0"/>
              <w:snapToGrid w:val="0"/>
              <w:spacing w:line="360" w:lineRule="auto"/>
              <w:ind w:firstLine="420" w:firstLineChars="200"/>
              <w:textAlignment w:val="center"/>
              <w:rPr>
                <w:rFonts w:hint="eastAsia" w:ascii="宋体" w:hAnsi="宋体" w:cs="Tahoma"/>
                <w:color w:val="auto"/>
                <w:kern w:val="28"/>
              </w:rPr>
            </w:pPr>
            <w:r>
              <w:rPr>
                <w:rFonts w:ascii="宋体" w:hAnsi="宋体" w:cs="Tahoma"/>
                <w:color w:val="auto"/>
                <w:kern w:val="28"/>
              </w:rPr>
              <w:object>
                <v:shape id="_x0000_i1025" o:spt="75" type="#_x0000_t75" style="height:57.05pt;width:424.5pt;" o:ole="t" filled="f" o:preferrelative="t" stroked="f" coordsize="21600,21600">
                  <v:path/>
                  <v:fill on="f" focussize="0,0"/>
                  <v:stroke on="f"/>
                  <v:imagedata r:id="rId5" o:title=""/>
                  <o:lock v:ext="edit" aspectratio="t"/>
                  <w10:wrap type="none"/>
                  <w10:anchorlock/>
                </v:shape>
                <o:OLEObject Type="Embed" ProgID="Visio.Drawing.11" ShapeID="_x0000_i1025" DrawAspect="Content" ObjectID="_1468075725" r:id="rId4">
                  <o:LockedField>false</o:LockedField>
                </o:OLEObject>
              </w:object>
            </w:r>
          </w:p>
          <w:p w14:paraId="49BE2D41">
            <w:pPr>
              <w:suppressAutoHyphens/>
              <w:adjustRightInd w:val="0"/>
              <w:snapToGrid w:val="0"/>
              <w:spacing w:line="520" w:lineRule="exact"/>
              <w:ind w:firstLine="420" w:firstLineChars="200"/>
              <w:textAlignment w:val="center"/>
              <w:rPr>
                <w:rFonts w:hint="eastAsia" w:ascii="宋体" w:hAnsi="宋体" w:cs="Tahoma"/>
                <w:color w:val="auto"/>
                <w:kern w:val="28"/>
                <w:szCs w:val="28"/>
              </w:rPr>
            </w:pPr>
            <w:r>
              <w:rPr>
                <w:rFonts w:ascii="宋体" w:hAnsi="宋体" w:cs="Tahoma"/>
                <w:color w:val="auto"/>
                <w:kern w:val="28"/>
                <w:szCs w:val="28"/>
              </w:rPr>
              <w:t>柴油卸油工艺框图如下：</w:t>
            </w:r>
          </w:p>
          <w:p w14:paraId="50FD7FCA">
            <w:pPr>
              <w:suppressAutoHyphens/>
              <w:adjustRightInd w:val="0"/>
              <w:snapToGrid w:val="0"/>
              <w:spacing w:line="520" w:lineRule="exact"/>
              <w:ind w:firstLine="420" w:firstLineChars="200"/>
              <w:textAlignment w:val="center"/>
              <w:rPr>
                <w:rFonts w:hint="eastAsia" w:ascii="宋体" w:hAnsi="宋体" w:cs="Tahoma"/>
                <w:color w:val="auto"/>
                <w:kern w:val="28"/>
              </w:rPr>
            </w:pPr>
            <w:r>
              <w:rPr>
                <w:rFonts w:ascii="宋体" w:hAnsi="宋体" w:cs="Tahoma"/>
                <w:color w:val="auto"/>
                <w:kern w:val="28"/>
              </w:rPr>
              <w:object>
                <v:shape id="_x0000_i1026" o:spt="75" type="#_x0000_t75" style="height:27.1pt;width:427.3pt;" o:ole="t" filled="f" o:preferrelative="t" stroked="f" coordsize="21600,21600">
                  <v:path/>
                  <v:fill on="f" focussize="0,0"/>
                  <v:stroke on="f"/>
                  <v:imagedata r:id="rId7" o:title=""/>
                  <o:lock v:ext="edit" aspectratio="t"/>
                  <w10:wrap type="none"/>
                  <w10:anchorlock/>
                </v:shape>
                <o:OLEObject Type="Embed" ProgID="Visio.Drawing.11" ShapeID="_x0000_i1026" DrawAspect="Content" ObjectID="_1468075726" r:id="rId6">
                  <o:LockedField>false</o:LockedField>
                </o:OLEObject>
              </w:object>
            </w:r>
          </w:p>
          <w:p w14:paraId="707215F8">
            <w:pPr>
              <w:suppressAutoHyphens/>
              <w:adjustRightInd w:val="0"/>
              <w:snapToGrid w:val="0"/>
              <w:spacing w:line="520" w:lineRule="exact"/>
              <w:ind w:firstLine="420" w:firstLineChars="200"/>
              <w:textAlignment w:val="center"/>
              <w:rPr>
                <w:color w:val="auto"/>
                <w:kern w:val="28"/>
              </w:rPr>
            </w:pPr>
            <w:r>
              <w:rPr>
                <w:rFonts w:hint="eastAsia"/>
                <w:color w:val="auto"/>
                <w:kern w:val="28"/>
              </w:rPr>
              <w:t>储油：对油罐车送来的油品在相应的油罐内进行储存，储存时间为2至3天，从而保证加油站不会出现脱销现象。</w:t>
            </w:r>
          </w:p>
          <w:p w14:paraId="5BC72F63">
            <w:pPr>
              <w:suppressAutoHyphens/>
              <w:adjustRightInd w:val="0"/>
              <w:snapToGrid w:val="0"/>
              <w:spacing w:line="520" w:lineRule="exact"/>
              <w:ind w:firstLine="420" w:firstLineChars="200"/>
              <w:textAlignment w:val="center"/>
              <w:rPr>
                <w:color w:val="auto"/>
                <w:kern w:val="28"/>
              </w:rPr>
            </w:pPr>
            <w:r>
              <w:rPr>
                <w:rFonts w:hint="eastAsia"/>
                <w:color w:val="auto"/>
                <w:kern w:val="28"/>
              </w:rPr>
              <w:t>加油：加油作业时，采用自吸泵提供的动力，油品通过加油管道至加油机，进入受油容器。同时，加汽油作业时，设有油气回收系统，汽油蒸汽通过油气回收管道回至汽油罐。加油过程中加油流量柴油（大流量）不大于80L/min，汽油不大于50L/min。</w:t>
            </w:r>
          </w:p>
          <w:p w14:paraId="302A6375">
            <w:pPr>
              <w:suppressAutoHyphens/>
              <w:adjustRightInd w:val="0"/>
              <w:snapToGrid w:val="0"/>
              <w:spacing w:line="520" w:lineRule="exact"/>
              <w:ind w:firstLine="420" w:firstLineChars="200"/>
              <w:textAlignment w:val="center"/>
              <w:rPr>
                <w:color w:val="auto"/>
                <w:kern w:val="28"/>
              </w:rPr>
            </w:pPr>
            <w:r>
              <w:rPr>
                <w:rFonts w:hint="eastAsia"/>
                <w:color w:val="auto"/>
                <w:kern w:val="28"/>
              </w:rPr>
              <w:t>汽油加油油气回收：汽车加油过程中，将汽车油箱口散溢的油气，通过油气回收专用加油枪收集，利用动力设备（如真空泵）经油气回收管线输送至低标号汽油储罐，实现加油过程中无油气外溢污染环境，本站采用分散式加油油气回收，真空泵设置在加油机内。</w:t>
            </w:r>
          </w:p>
          <w:p w14:paraId="0A4ADCC7">
            <w:pPr>
              <w:suppressAutoHyphens/>
              <w:adjustRightInd w:val="0"/>
              <w:snapToGrid w:val="0"/>
              <w:spacing w:line="520" w:lineRule="exact"/>
              <w:ind w:firstLine="420" w:firstLineChars="200"/>
              <w:textAlignment w:val="center"/>
              <w:rPr>
                <w:color w:val="auto"/>
                <w:kern w:val="28"/>
              </w:rPr>
            </w:pPr>
            <w:r>
              <w:rPr>
                <w:rFonts w:hint="eastAsia"/>
                <w:color w:val="auto"/>
                <w:kern w:val="28"/>
              </w:rPr>
              <w:t>量油：采用液位仪和人工量油检尺相结合的方法进行测量。</w:t>
            </w:r>
          </w:p>
          <w:p w14:paraId="3DD304A8">
            <w:pPr>
              <w:suppressAutoHyphens/>
              <w:adjustRightInd w:val="0"/>
              <w:snapToGrid w:val="0"/>
              <w:spacing w:line="520" w:lineRule="exact"/>
              <w:ind w:firstLine="420" w:firstLineChars="200"/>
              <w:textAlignment w:val="center"/>
              <w:rPr>
                <w:color w:val="auto"/>
                <w:kern w:val="28"/>
              </w:rPr>
            </w:pPr>
            <w:r>
              <w:rPr>
                <w:rFonts w:hint="eastAsia"/>
                <w:color w:val="auto"/>
                <w:kern w:val="28"/>
              </w:rPr>
              <w:t>汽油、柴油加油工艺框图如下：</w:t>
            </w:r>
          </w:p>
          <w:p w14:paraId="6E0F4DA6">
            <w:pPr>
              <w:ind w:firstLine="560"/>
              <w:rPr>
                <w:color w:val="auto"/>
                <w:sz w:val="24"/>
                <w:szCs w:val="24"/>
              </w:rPr>
            </w:pPr>
            <w:r>
              <w:rPr>
                <w:color w:val="auto"/>
              </w:rPr>
              <w:drawing>
                <wp:inline distT="0" distB="0" distL="114300" distR="114300">
                  <wp:extent cx="4902200" cy="2021205"/>
                  <wp:effectExtent l="0" t="0" r="12700" b="171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rcRect t="1843" r="21"/>
                          <a:stretch>
                            <a:fillRect/>
                          </a:stretch>
                        </pic:blipFill>
                        <pic:spPr>
                          <a:xfrm>
                            <a:off x="0" y="0"/>
                            <a:ext cx="4902200" cy="2021205"/>
                          </a:xfrm>
                          <a:prstGeom prst="rect">
                            <a:avLst/>
                          </a:prstGeom>
                          <a:noFill/>
                          <a:ln>
                            <a:noFill/>
                          </a:ln>
                        </pic:spPr>
                      </pic:pic>
                    </a:graphicData>
                  </a:graphic>
                </wp:inline>
              </w:drawing>
            </w:r>
            <w:bookmarkEnd w:id="1"/>
          </w:p>
          <w:p w14:paraId="54CBFC36">
            <w:pPr>
              <w:pStyle w:val="9"/>
              <w:ind w:left="0" w:leftChars="0" w:firstLine="0" w:firstLineChars="0"/>
              <w:rPr>
                <w:color w:val="auto"/>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3409B03F">
            <w:pPr>
              <w:widowControl/>
              <w:spacing w:after="150"/>
              <w:jc w:val="center"/>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被评价单位信息反馈情况</w:t>
            </w:r>
          </w:p>
        </w:tc>
        <w:tc>
          <w:tcPr>
            <w:tcW w:w="8937" w:type="dxa"/>
            <w:gridSpan w:val="3"/>
            <w:tcBorders>
              <w:tl2br w:val="nil"/>
              <w:tr2bl w:val="nil"/>
            </w:tcBorders>
            <w:shd w:val="clear" w:color="auto" w:fill="FFFFFF"/>
            <w:vAlign w:val="center"/>
          </w:tcPr>
          <w:p w14:paraId="7EFBC9DB">
            <w:pPr>
              <w:widowControl/>
              <w:spacing w:after="150"/>
              <w:jc w:val="center"/>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满意</w:t>
            </w:r>
          </w:p>
        </w:tc>
      </w:tr>
    </w:tbl>
    <w:p w14:paraId="5D345BA6">
      <w:pPr>
        <w:rPr>
          <w:rFonts w:hint="eastAsia" w:eastAsia="宋体"/>
          <w:color w:val="auto"/>
          <w:lang w:eastAsia="zh-CN"/>
        </w:rPr>
      </w:pPr>
      <w:r>
        <w:rPr>
          <w:color w:val="auto"/>
        </w:rPr>
        <w:br w:type="page"/>
      </w:r>
    </w:p>
    <w:p w14:paraId="509069EE">
      <w:pPr>
        <w:spacing w:line="360" w:lineRule="auto"/>
        <w:jc w:val="center"/>
        <w:rPr>
          <w:rFonts w:hint="eastAsia"/>
          <w:color w:val="auto"/>
          <w:szCs w:val="28"/>
        </w:rPr>
      </w:pPr>
      <w:r>
        <w:rPr>
          <w:rFonts w:hint="eastAsia"/>
          <w:color w:val="auto"/>
          <w:szCs w:val="28"/>
        </w:rPr>
        <w:drawing>
          <wp:inline distT="0" distB="0" distL="114300" distR="114300">
            <wp:extent cx="4902835" cy="3542665"/>
            <wp:effectExtent l="0" t="0" r="12065" b="635"/>
            <wp:docPr id="8" name="图片 5" descr="IMG_20250810_11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0250810_113200"/>
                    <pic:cNvPicPr>
                      <a:picLocks noChangeAspect="1"/>
                    </pic:cNvPicPr>
                  </pic:nvPicPr>
                  <pic:blipFill>
                    <a:blip r:embed="rId9"/>
                    <a:srcRect t="9190" r="27211" b="9523"/>
                    <a:stretch>
                      <a:fillRect/>
                    </a:stretch>
                  </pic:blipFill>
                  <pic:spPr>
                    <a:xfrm>
                      <a:off x="0" y="0"/>
                      <a:ext cx="4902835" cy="3542665"/>
                    </a:xfrm>
                    <a:prstGeom prst="rect">
                      <a:avLst/>
                    </a:prstGeom>
                    <a:noFill/>
                    <a:ln>
                      <a:noFill/>
                    </a:ln>
                  </pic:spPr>
                </pic:pic>
              </a:graphicData>
            </a:graphic>
          </wp:inline>
        </w:drawing>
      </w:r>
    </w:p>
    <w:p w14:paraId="72D16BE6">
      <w:pPr>
        <w:spacing w:line="360" w:lineRule="auto"/>
        <w:jc w:val="center"/>
        <w:rPr>
          <w:rFonts w:hint="eastAsia"/>
          <w:color w:val="auto"/>
          <w:szCs w:val="28"/>
        </w:rPr>
      </w:pPr>
    </w:p>
    <w:p w14:paraId="5B250F11">
      <w:pPr>
        <w:spacing w:line="360" w:lineRule="auto"/>
        <w:jc w:val="center"/>
        <w:rPr>
          <w:rFonts w:hint="eastAsia"/>
          <w:color w:val="auto"/>
          <w:szCs w:val="28"/>
        </w:rPr>
      </w:pPr>
      <w:r>
        <w:rPr>
          <w:rFonts w:hint="eastAsia"/>
          <w:color w:val="auto"/>
          <w:szCs w:val="28"/>
        </w:rPr>
        <w:drawing>
          <wp:inline distT="0" distB="0" distL="114300" distR="114300">
            <wp:extent cx="4902835" cy="3404235"/>
            <wp:effectExtent l="0" t="0" r="12065" b="5715"/>
            <wp:docPr id="9" name="图片 6" descr="IMG_20250810_11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0250810_113300"/>
                    <pic:cNvPicPr>
                      <a:picLocks noChangeAspect="1"/>
                    </pic:cNvPicPr>
                  </pic:nvPicPr>
                  <pic:blipFill>
                    <a:blip r:embed="rId10"/>
                    <a:srcRect l="3169" t="11147" r="12761" b="11147"/>
                    <a:stretch>
                      <a:fillRect/>
                    </a:stretch>
                  </pic:blipFill>
                  <pic:spPr>
                    <a:xfrm>
                      <a:off x="0" y="0"/>
                      <a:ext cx="4902835" cy="3404235"/>
                    </a:xfrm>
                    <a:prstGeom prst="rect">
                      <a:avLst/>
                    </a:prstGeom>
                    <a:noFill/>
                    <a:ln>
                      <a:noFill/>
                    </a:ln>
                  </pic:spPr>
                </pic:pic>
              </a:graphicData>
            </a:graphic>
          </wp:inline>
        </w:drawing>
      </w:r>
    </w:p>
    <w:p w14:paraId="58D3CBC5">
      <w:pPr>
        <w:rPr>
          <w:rFonts w:hint="eastAsia"/>
          <w:color w:val="auto"/>
          <w:lang w:eastAsia="zh-CN"/>
        </w:rPr>
      </w:pPr>
      <w:r>
        <w:rPr>
          <w:rFonts w:hint="eastAsia"/>
          <w:color w:val="auto"/>
          <w:lang w:eastAsia="zh-CN"/>
        </w:rPr>
        <w:br w:type="page"/>
      </w:r>
    </w:p>
    <w:p w14:paraId="0A2220E2">
      <w:pPr>
        <w:rPr>
          <w:color w:val="auto"/>
        </w:rPr>
        <w:sectPr>
          <w:pgSz w:w="11906" w:h="16838"/>
          <w:pgMar w:top="1440" w:right="1800" w:bottom="1440" w:left="1800" w:header="851" w:footer="992" w:gutter="0"/>
          <w:cols w:space="720" w:num="1"/>
          <w:docGrid w:type="lines" w:linePitch="312" w:charSpace="0"/>
        </w:sectPr>
      </w:pPr>
    </w:p>
    <w:p w14:paraId="171DAAC9">
      <w:pPr>
        <w:rPr>
          <w:rFonts w:hint="eastAsia"/>
          <w:color w:val="auto"/>
          <w:lang w:eastAsia="zh-CN"/>
        </w:rPr>
        <w:sectPr>
          <w:pgSz w:w="16838" w:h="11906" w:orient="landscape"/>
          <w:pgMar w:top="1800" w:right="1440" w:bottom="1800" w:left="1440" w:header="851" w:footer="992" w:gutter="0"/>
          <w:cols w:space="720" w:num="1"/>
          <w:docGrid w:type="lines" w:linePitch="312" w:charSpace="0"/>
        </w:sectPr>
      </w:pPr>
      <w:r>
        <w:drawing>
          <wp:anchor distT="0" distB="0" distL="114300" distR="114300" simplePos="0" relativeHeight="251659264" behindDoc="0" locked="0" layoutInCell="1" allowOverlap="1">
            <wp:simplePos x="0" y="0"/>
            <wp:positionH relativeFrom="column">
              <wp:posOffset>1516380</wp:posOffset>
            </wp:positionH>
            <wp:positionV relativeFrom="paragraph">
              <wp:posOffset>-1548130</wp:posOffset>
            </wp:positionV>
            <wp:extent cx="5495925" cy="7783830"/>
            <wp:effectExtent l="0" t="0" r="7620" b="952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rot="16200000">
                      <a:off x="0" y="0"/>
                      <a:ext cx="5495925" cy="7783830"/>
                    </a:xfrm>
                    <a:prstGeom prst="rect">
                      <a:avLst/>
                    </a:prstGeom>
                    <a:noFill/>
                    <a:ln>
                      <a:noFill/>
                    </a:ln>
                  </pic:spPr>
                </pic:pic>
              </a:graphicData>
            </a:graphic>
          </wp:anchor>
        </w:drawing>
      </w:r>
    </w:p>
    <w:p w14:paraId="74E6BE4A">
      <w:pPr>
        <w:rPr>
          <w:rFonts w:hint="eastAsia"/>
          <w:color w:val="auto"/>
          <w:lang w:eastAsia="zh-CN"/>
        </w:rPr>
      </w:pPr>
      <w:r>
        <w:rPr>
          <w:color w:val="auto"/>
        </w:rPr>
        <w:drawing>
          <wp:inline distT="0" distB="0" distL="114300" distR="114300">
            <wp:extent cx="5751830" cy="7660640"/>
            <wp:effectExtent l="0" t="0" r="1270"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751830" cy="7660640"/>
                    </a:xfrm>
                    <a:prstGeom prst="rect">
                      <a:avLst/>
                    </a:prstGeom>
                    <a:noFill/>
                    <a:ln>
                      <a:noFill/>
                    </a:ln>
                  </pic:spPr>
                </pic:pic>
              </a:graphicData>
            </a:graphic>
          </wp:inline>
        </w:drawing>
      </w:r>
      <w:r>
        <w:rPr>
          <w:color w:val="auto"/>
        </w:rPr>
        <w:drawing>
          <wp:inline distT="0" distB="0" distL="114300" distR="114300">
            <wp:extent cx="5656580" cy="7575550"/>
            <wp:effectExtent l="0" t="0" r="1270"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656580" cy="7575550"/>
                    </a:xfrm>
                    <a:prstGeom prst="rect">
                      <a:avLst/>
                    </a:prstGeom>
                    <a:noFill/>
                    <a:ln>
                      <a:noFill/>
                    </a:ln>
                  </pic:spPr>
                </pic:pic>
              </a:graphicData>
            </a:graphic>
          </wp:inline>
        </w:drawing>
      </w:r>
    </w:p>
    <w:p w14:paraId="48489782">
      <w:pPr>
        <w:rPr>
          <w:rFonts w:hint="eastAsia"/>
          <w:color w:val="auto"/>
          <w:lang w:eastAsia="zh-CN"/>
        </w:rPr>
      </w:pPr>
    </w:p>
    <w:p w14:paraId="23F4E520">
      <w:pPr>
        <w:rPr>
          <w:rFonts w:hint="eastAsia"/>
          <w:color w:val="auto"/>
          <w:lang w:eastAsia="zh-CN"/>
        </w:rPr>
      </w:pPr>
      <w:r>
        <w:rPr>
          <w:rFonts w:hint="eastAsia"/>
          <w:color w:val="auto"/>
          <w:lang w:eastAsia="zh-CN"/>
        </w:rPr>
        <w:br w:type="page"/>
      </w:r>
    </w:p>
    <w:p w14:paraId="3063B77D">
      <w:pPr>
        <w:rPr>
          <w:rFonts w:hint="eastAsia"/>
          <w:color w:val="auto"/>
          <w:lang w:eastAsia="zh-CN"/>
        </w:rPr>
      </w:pPr>
      <w:r>
        <w:rPr>
          <w:color w:val="auto"/>
        </w:rPr>
        <w:drawing>
          <wp:inline distT="0" distB="0" distL="114300" distR="114300">
            <wp:extent cx="5838190" cy="8752205"/>
            <wp:effectExtent l="0" t="0" r="10160" b="1079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5838190" cy="875220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25F245C"/>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0D177F"/>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0D5A31"/>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476E8B"/>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40109D"/>
    <w:rsid w:val="396748BA"/>
    <w:rsid w:val="3A751F6D"/>
    <w:rsid w:val="3AB6680E"/>
    <w:rsid w:val="3AD61658"/>
    <w:rsid w:val="3ADD7367"/>
    <w:rsid w:val="3AF50232"/>
    <w:rsid w:val="3B251FB8"/>
    <w:rsid w:val="3B3712DA"/>
    <w:rsid w:val="3B622014"/>
    <w:rsid w:val="3C7D28D5"/>
    <w:rsid w:val="3CB343D3"/>
    <w:rsid w:val="3CBE7045"/>
    <w:rsid w:val="3CE43836"/>
    <w:rsid w:val="3D027FC2"/>
    <w:rsid w:val="3D3D4FC4"/>
    <w:rsid w:val="3D4729D1"/>
    <w:rsid w:val="3DEB4A20"/>
    <w:rsid w:val="3E17613C"/>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99"/>
    <w:rPr>
      <w:sz w:val="28"/>
      <w:szCs w:val="28"/>
    </w:rPr>
  </w:style>
  <w:style w:type="paragraph" w:styleId="7">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annotation text"/>
    <w:basedOn w:val="1"/>
    <w:qFormat/>
    <w:uiPriority w:val="0"/>
    <w:pPr>
      <w:jc w:val="left"/>
    </w:pPr>
  </w:style>
  <w:style w:type="paragraph" w:styleId="9">
    <w:name w:val="Body Text Indent"/>
    <w:basedOn w:val="1"/>
    <w:next w:val="2"/>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2"/>
    <w:next w:val="1"/>
    <w:autoRedefine/>
    <w:qFormat/>
    <w:uiPriority w:val="0"/>
    <w:pPr>
      <w:spacing w:after="120"/>
      <w:ind w:firstLine="420" w:firstLineChars="100"/>
    </w:pPr>
  </w:style>
  <w:style w:type="paragraph" w:styleId="22">
    <w:name w:val="Body Text First Indent 2"/>
    <w:basedOn w:val="2"/>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1452</Words>
  <Characters>1693</Characters>
  <Lines>8</Lines>
  <Paragraphs>2</Paragraphs>
  <TotalTime>0</TotalTime>
  <ScaleCrop>false</ScaleCrop>
  <LinksUpToDate>false</LinksUpToDate>
  <CharactersWithSpaces>1698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2025-10-24T01:33:14Z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E8098447F3FD49BBAABB923198B76044_13</vt:lpwstr>
  </property>
  <property fmtid="{D5CDD505-2E9C-101B-9397-08002B2CF9AE}" pid="4" name="KSOTemplateDocerSaveRecord">
    <vt:lpwstr>eyJoZGlkIjoiNDgzMjdiZTZhYWEwMDUyMzMwMzdhZWM2ZmNjMGMzMDkiLCJ1c2VySWQiOiI1NzcyNjAwMzgifQ==</vt:lpwstr>
  </property>
</Properties>
</file>