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Times New Roman" w:hAnsi="Times New Roman" w:eastAsia="宋体" w:cs="Times New Roman"/>
                <w:sz w:val="21"/>
                <w:szCs w:val="21"/>
                <w:lang w:eastAsia="zh-CN"/>
              </w:rPr>
              <w:t>江西富盈石油化工有限公司万安县弹前加油站</w:t>
            </w:r>
            <w:r>
              <w:rPr>
                <w:rFonts w:hint="eastAsia" w:ascii="Times New Roman" w:hAnsi="Times New Roman" w:eastAsia="宋体" w:cs="Times New Roman"/>
                <w:sz w:val="21"/>
                <w:szCs w:val="21"/>
                <w:lang w:val="en-US" w:eastAsia="zh-CN"/>
              </w:rPr>
              <w:t>项目安全条件评价报告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9</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eastAsia" w:ascii="宋体" w:hAnsi="宋体" w:cs="宋体"/>
                <w:sz w:val="24"/>
              </w:rPr>
            </w:pPr>
            <w:r>
              <w:rPr>
                <w:rFonts w:hint="eastAsia" w:ascii="宋体" w:hAnsi="宋体" w:cs="宋体"/>
                <w:sz w:val="24"/>
                <w:lang w:val="en-US" w:eastAsia="zh-CN"/>
              </w:rPr>
              <w:t>赵云锋</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2025.4.10</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eastAsia"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B6C711A">
            <w:pPr>
              <w:spacing w:line="24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江西富盈石油化工有限公司</w:t>
            </w:r>
            <w:r>
              <w:rPr>
                <w:rFonts w:hint="eastAsia" w:ascii="宋体" w:hAnsi="宋体" w:eastAsia="宋体" w:cs="宋体"/>
                <w:color w:val="auto"/>
                <w:highlight w:val="none"/>
                <w:lang w:val="en-US" w:eastAsia="zh-CN"/>
              </w:rPr>
              <w:t>成立于2025年1月10日，企业类型：有限责任公司(自然人投资或控股),法定代表人陈丹</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经营范围为：许可项目:道路货物运输(不含危险货物)，烟草制品零售(依法须经批准的项目，经相关部门批准后在许可有效期内方可开展经营活动，具体经营项目和许可期限以相关部门批准文件或许可证件为准）一般项目:化工产品销售(不含许可类化工产品)，专用化学产品销售(不含危险化学品)，润滑油销售，石油制品销售(不含危险化学品)，汽车零配件批发，充电桩销售，机动车充电销售，机动车修理和维护，信息技术咨询服务，建筑材料销售，日用百货销售，食品销售(仅销售预包装食品)，保健食品(预包装)销售，电子产品销售，日用品销售，食用农产品零售(除依法须经批准的项目外，凭营业执照依法自主开展经营活动)。该公司在</w:t>
            </w:r>
            <w:r>
              <w:rPr>
                <w:rFonts w:hint="eastAsia" w:ascii="宋体" w:hAnsi="宋体" w:eastAsia="宋体" w:cs="宋体"/>
                <w:color w:val="auto"/>
                <w:highlight w:val="none"/>
                <w:lang w:eastAsia="zh-CN"/>
              </w:rPr>
              <w:t>万安县弹前乡旺坑村上街</w:t>
            </w:r>
            <w:r>
              <w:rPr>
                <w:rFonts w:hint="eastAsia" w:ascii="宋体" w:hAnsi="宋体" w:eastAsia="宋体" w:cs="宋体"/>
                <w:color w:val="auto"/>
                <w:highlight w:val="none"/>
                <w:lang w:val="en-US" w:eastAsia="zh-CN"/>
              </w:rPr>
              <w:t>新建加油站</w:t>
            </w:r>
            <w:r>
              <w:rPr>
                <w:rFonts w:hint="eastAsia" w:ascii="宋体" w:hAnsi="宋体" w:eastAsia="宋体" w:cs="宋体"/>
                <w:color w:val="auto"/>
                <w:highlight w:val="none"/>
              </w:rPr>
              <w:t>，该站位于</w:t>
            </w:r>
            <w:r>
              <w:rPr>
                <w:rFonts w:hint="eastAsia" w:ascii="宋体" w:hAnsi="宋体" w:eastAsia="宋体" w:cs="宋体"/>
                <w:color w:val="auto"/>
                <w:highlight w:val="none"/>
                <w:lang w:eastAsia="zh-CN"/>
              </w:rPr>
              <w:t>万安县弹前乡旺坑村上街</w:t>
            </w:r>
            <w:r>
              <w:rPr>
                <w:rFonts w:hint="eastAsia" w:ascii="宋体" w:hAnsi="宋体" w:eastAsia="宋体" w:cs="宋体"/>
                <w:color w:val="auto"/>
                <w:highlight w:val="none"/>
              </w:rPr>
              <w:t>，加油站为企业自有（建站土地为企业</w:t>
            </w:r>
            <w:r>
              <w:rPr>
                <w:rFonts w:hint="eastAsia" w:ascii="宋体" w:hAnsi="宋体" w:eastAsia="宋体" w:cs="宋体"/>
                <w:color w:val="auto"/>
                <w:highlight w:val="none"/>
                <w:lang w:val="en-US" w:eastAsia="zh-CN"/>
              </w:rPr>
              <w:t>购买所得</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p>
          <w:p w14:paraId="08126B71">
            <w:pPr>
              <w:spacing w:line="24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该站主要经营0#柴油、92#汽油、95#汽油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站内</w:t>
            </w:r>
            <w:r>
              <w:rPr>
                <w:rFonts w:hint="eastAsia" w:ascii="宋体" w:hAnsi="宋体" w:eastAsia="宋体" w:cs="宋体"/>
                <w:color w:val="auto"/>
                <w:highlight w:val="none"/>
                <w:lang w:val="en-US" w:eastAsia="zh-CN"/>
              </w:rPr>
              <w:t>拟</w:t>
            </w:r>
            <w:r>
              <w:rPr>
                <w:rFonts w:hint="eastAsia" w:ascii="宋体" w:hAnsi="宋体" w:eastAsia="宋体" w:cs="宋体"/>
                <w:color w:val="auto"/>
                <w:highlight w:val="none"/>
              </w:rPr>
              <w:t>设</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台油罐，分别为容积</w:t>
            </w:r>
            <w:r>
              <w:rPr>
                <w:rFonts w:hint="eastAsia" w:ascii="宋体" w:hAnsi="宋体" w:eastAsia="宋体" w:cs="宋体"/>
                <w:color w:val="auto"/>
                <w:highlight w:val="none"/>
                <w:lang w:val="en-US" w:eastAsia="zh-CN"/>
              </w:rPr>
              <w:t>50m³0#柴油埋地双层储罐1</w:t>
            </w:r>
            <w:r>
              <w:rPr>
                <w:rFonts w:hint="eastAsia" w:ascii="宋体" w:hAnsi="宋体" w:eastAsia="宋体" w:cs="宋体"/>
                <w:color w:val="auto"/>
                <w:highlight w:val="none"/>
              </w:rPr>
              <w:t>台、容积</w:t>
            </w:r>
            <w:r>
              <w:rPr>
                <w:rFonts w:hint="eastAsia" w:ascii="宋体" w:hAnsi="宋体" w:eastAsia="宋体" w:cs="宋体"/>
                <w:color w:val="auto"/>
                <w:highlight w:val="none"/>
                <w:lang w:val="en-US" w:eastAsia="zh-CN"/>
              </w:rPr>
              <w:t>30m³92#汽油埋地双层储罐1</w:t>
            </w:r>
            <w:r>
              <w:rPr>
                <w:rFonts w:hint="eastAsia" w:ascii="宋体" w:hAnsi="宋体" w:eastAsia="宋体" w:cs="宋体"/>
                <w:color w:val="auto"/>
                <w:highlight w:val="none"/>
              </w:rPr>
              <w:t>台、容积</w:t>
            </w:r>
            <w:r>
              <w:rPr>
                <w:rFonts w:hint="eastAsia" w:ascii="宋体" w:hAnsi="宋体" w:eastAsia="宋体" w:cs="宋体"/>
                <w:color w:val="auto"/>
                <w:highlight w:val="none"/>
                <w:lang w:val="en-US" w:eastAsia="zh-CN"/>
              </w:rPr>
              <w:t>30</w:t>
            </w:r>
            <w:r>
              <w:rPr>
                <w:rFonts w:hint="eastAsia" w:ascii="宋体" w:hAnsi="宋体" w:eastAsia="宋体" w:cs="宋体"/>
                <w:color w:val="auto"/>
                <w:highlight w:val="none"/>
                <w:lang w:eastAsia="zh-CN"/>
              </w:rPr>
              <w:t>m³</w:t>
            </w:r>
            <w:r>
              <w:rPr>
                <w:rFonts w:hint="eastAsia" w:ascii="宋体" w:hAnsi="宋体" w:eastAsia="宋体" w:cs="宋体"/>
                <w:color w:val="auto"/>
                <w:highlight w:val="none"/>
                <w:lang w:val="en-US" w:eastAsia="zh-CN"/>
              </w:rPr>
              <w:t>95</w:t>
            </w:r>
            <w:r>
              <w:rPr>
                <w:rFonts w:hint="eastAsia" w:ascii="宋体" w:hAnsi="宋体" w:eastAsia="宋体" w:cs="宋体"/>
                <w:color w:val="auto"/>
                <w:highlight w:val="none"/>
              </w:rPr>
              <w:t>#汽油</w:t>
            </w:r>
            <w:r>
              <w:rPr>
                <w:rFonts w:hint="eastAsia" w:ascii="宋体" w:hAnsi="宋体" w:eastAsia="宋体" w:cs="宋体"/>
                <w:color w:val="auto"/>
                <w:highlight w:val="none"/>
                <w:lang w:val="en-US" w:eastAsia="zh-CN"/>
              </w:rPr>
              <w:t>埋地双层储罐1</w:t>
            </w:r>
            <w:r>
              <w:rPr>
                <w:rFonts w:hint="eastAsia" w:ascii="宋体" w:hAnsi="宋体" w:eastAsia="宋体" w:cs="宋体"/>
                <w:color w:val="auto"/>
                <w:highlight w:val="none"/>
              </w:rPr>
              <w:t>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最大存储量为</w:t>
            </w:r>
            <w:r>
              <w:rPr>
                <w:rFonts w:hint="eastAsia" w:ascii="宋体" w:hAnsi="宋体" w:eastAsia="宋体" w:cs="宋体"/>
                <w:color w:val="auto"/>
                <w:highlight w:val="none"/>
                <w:lang w:val="en-US" w:eastAsia="zh-CN"/>
              </w:rPr>
              <w:t>110m³</w:t>
            </w:r>
            <w:r>
              <w:rPr>
                <w:rFonts w:hint="eastAsia" w:ascii="宋体" w:hAnsi="宋体" w:eastAsia="宋体" w:cs="宋体"/>
                <w:color w:val="auto"/>
                <w:highlight w:val="none"/>
              </w:rPr>
              <w:t>，实际油品折算总容量为</w:t>
            </w:r>
            <w:r>
              <w:rPr>
                <w:rFonts w:hint="eastAsia" w:ascii="宋体" w:hAnsi="宋体" w:eastAsia="宋体" w:cs="宋体"/>
                <w:color w:val="auto"/>
                <w:highlight w:val="none"/>
                <w:lang w:val="en-US" w:eastAsia="zh-CN"/>
              </w:rPr>
              <w:t>85</w:t>
            </w:r>
            <w:r>
              <w:rPr>
                <w:rFonts w:hint="eastAsia" w:ascii="宋体" w:hAnsi="宋体" w:eastAsia="宋体" w:cs="宋体"/>
                <w:color w:val="auto"/>
                <w:highlight w:val="none"/>
                <w:lang w:eastAsia="zh-CN"/>
              </w:rPr>
              <w:t>m³</w:t>
            </w:r>
            <w:r>
              <w:rPr>
                <w:rFonts w:hint="eastAsia" w:ascii="宋体" w:hAnsi="宋体" w:eastAsia="宋体" w:cs="宋体"/>
                <w:color w:val="auto"/>
                <w:highlight w:val="none"/>
              </w:rPr>
              <w:t>（柴油折半），属于</w:t>
            </w:r>
            <w:r>
              <w:rPr>
                <w:rFonts w:hint="eastAsia" w:ascii="宋体" w:hAnsi="宋体" w:eastAsia="宋体" w:cs="宋体"/>
                <w:color w:val="auto"/>
                <w:highlight w:val="none"/>
                <w:lang w:val="en-US" w:eastAsia="zh-CN"/>
              </w:rPr>
              <w:t>三级</w:t>
            </w:r>
            <w:r>
              <w:rPr>
                <w:rFonts w:hint="eastAsia" w:ascii="宋体" w:hAnsi="宋体" w:eastAsia="宋体" w:cs="宋体"/>
                <w:color w:val="auto"/>
                <w:highlight w:val="none"/>
              </w:rPr>
              <w:t>加油站。</w:t>
            </w:r>
          </w:p>
          <w:p w14:paraId="422E1AD2">
            <w:pPr>
              <w:spacing w:line="240" w:lineRule="auto"/>
              <w:ind w:firstLine="560"/>
              <w:rPr>
                <w:rFonts w:hint="eastAsia"/>
                <w:snapToGrid w:val="0"/>
              </w:rPr>
            </w:pPr>
            <w:r>
              <w:rPr>
                <w:rFonts w:hint="eastAsia" w:ascii="宋体" w:hAnsi="宋体" w:eastAsia="宋体" w:cs="宋体"/>
                <w:color w:val="auto"/>
                <w:highlight w:val="none"/>
                <w:lang w:eastAsia="zh-CN"/>
              </w:rPr>
              <w:t>江西富盈石油化工有限公司</w:t>
            </w:r>
            <w:r>
              <w:rPr>
                <w:rFonts w:hint="eastAsia" w:ascii="宋体" w:hAnsi="宋体" w:eastAsia="宋体" w:cs="宋体"/>
                <w:color w:val="auto"/>
                <w:highlight w:val="none"/>
                <w:lang w:val="en-US" w:eastAsia="zh-CN"/>
              </w:rPr>
              <w:t>于2025年6月17日取得由万安县发展和改革委员会出具的《江西省企业投资项目备案凭证》，项目统一代码为：2504-360828-04-01-799375。</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4A5D204">
            <w:pPr>
              <w:ind w:firstLine="560"/>
              <w:rPr>
                <w:color w:val="auto"/>
              </w:rPr>
            </w:pPr>
            <w:r>
              <w:rPr>
                <w:color w:val="auto"/>
              </w:rPr>
              <w:t>1</w:t>
            </w:r>
            <w:r>
              <w:rPr>
                <w:rFonts w:hint="eastAsia"/>
                <w:color w:val="auto"/>
              </w:rPr>
              <w:t>、</w:t>
            </w:r>
            <w:r>
              <w:rPr>
                <w:color w:val="auto"/>
              </w:rPr>
              <w:t>卸油工艺：</w:t>
            </w:r>
          </w:p>
          <w:p w14:paraId="05EF860D">
            <w:pPr>
              <w:ind w:firstLine="560"/>
              <w:rPr>
                <w:color w:val="auto"/>
              </w:rPr>
            </w:pPr>
            <w:r>
              <w:rPr>
                <w:color w:val="auto"/>
              </w:rPr>
              <w:t>当油品用油罐车拉到加油站后，在卸油口附近停稳熄火，先检查静电接地装置是否完好，再用加油站的静电接地导线与油罐车的静电导出接点连接在一起，静置十五分钟后，导除静电。然后用快速接头将油罐车的卸油软管与储油罐的快速密闭卸油口连接在一起，开始卸油，汽油卸油过程采用卸油油气回收系统。油品卸完后，先关闭油罐车的阀门，检查并确认没有溢油、漏油后，关好阀门，断开卸油快速接头，盖好快速接头盖，清理现场，再拆除连通软管及静电接地装置，最后发动油品罐车缓慢离开</w:t>
            </w:r>
            <w:r>
              <w:rPr>
                <w:rFonts w:hint="eastAsia"/>
                <w:color w:val="auto"/>
                <w:lang w:eastAsia="zh-CN"/>
              </w:rPr>
              <w:t>油罐区</w:t>
            </w:r>
            <w:r>
              <w:rPr>
                <w:color w:val="auto"/>
              </w:rPr>
              <w:t>。卸油中注意观察管线、阀门等相关设备的运行情况。</w:t>
            </w:r>
          </w:p>
          <w:p w14:paraId="2A47C0E7">
            <w:pPr>
              <w:ind w:firstLine="560"/>
              <w:rPr>
                <w:color w:val="FF0000"/>
              </w:rPr>
            </w:pPr>
            <w:r>
              <w:rPr>
                <w:color w:val="auto"/>
              </w:rPr>
              <w:t>汽油卸油工艺框图如下：</w:t>
            </w:r>
            <w:r>
              <w:rPr>
                <w:color w:val="FF0000"/>
              </w:rPr>
              <w:t xml:space="preserve"> </w:t>
            </w:r>
          </w:p>
          <w:p w14:paraId="0D23A1CD">
            <w:pPr>
              <w:suppressAutoHyphens/>
              <w:ind w:firstLine="0" w:firstLineChars="0"/>
              <w:jc w:val="center"/>
              <w:rPr>
                <w:color w:val="auto"/>
                <w:kern w:val="1"/>
              </w:rPr>
            </w:pPr>
            <w:r>
              <w:rPr>
                <w:color w:val="auto"/>
                <w:kern w:val="1"/>
              </w:rPr>
              <w:object>
                <v:shape id="_x0000_i1025" o:spt="75" alt="OLE 对象" type="#_x0000_t75" style="height:48.65pt;width:367.6pt;" o:ole="t" filled="f" o:preferrelative="t" stroked="f" coordsize="21600,21600">
                  <v:path/>
                  <v:fill on="f" focussize="0,0"/>
                  <v:stroke on="f"/>
                  <v:imagedata r:id="rId5" o:title="OLE 对象"/>
                  <o:lock v:ext="edit" aspectratio="t"/>
                  <w10:wrap type="none"/>
                  <w10:anchorlock/>
                </v:shape>
                <o:OLEObject Type="Embed" ProgID="Word.Picture.8" ShapeID="_x0000_i1025" DrawAspect="Content" ObjectID="_1468075725" r:id="rId4">
                  <o:LockedField>false</o:LockedField>
                </o:OLEObject>
              </w:object>
            </w:r>
          </w:p>
          <w:p w14:paraId="7FEEEB79">
            <w:pPr>
              <w:ind w:firstLine="560"/>
              <w:rPr>
                <w:color w:val="auto"/>
                <w:kern w:val="1"/>
              </w:rPr>
            </w:pPr>
            <w:r>
              <w:rPr>
                <w:color w:val="auto"/>
                <w:kern w:val="1"/>
              </w:rPr>
              <w:t>柴</w:t>
            </w:r>
            <w:r>
              <w:rPr>
                <w:color w:val="auto"/>
              </w:rPr>
              <w:t>油卸油工艺框图如下：</w:t>
            </w:r>
          </w:p>
          <w:p w14:paraId="785E6408">
            <w:pPr>
              <w:ind w:firstLine="0" w:firstLineChars="0"/>
              <w:jc w:val="center"/>
              <w:rPr>
                <w:rFonts w:eastAsia="仿宋_GB2312"/>
                <w:b/>
                <w:bCs/>
                <w:color w:val="auto"/>
                <w:sz w:val="24"/>
                <w:szCs w:val="28"/>
              </w:rPr>
            </w:pPr>
            <w:r>
              <w:rPr>
                <w:rFonts w:eastAsia="仿宋_GB2312"/>
                <w:color w:val="auto"/>
                <w:szCs w:val="28"/>
              </w:rPr>
              <w:object>
                <v:shape id="_x0000_i1026" o:spt="75" alt="OLE 对象" type="#_x0000_t75" style="height:22.1pt;width:354.15pt;" o:ole="t" filled="f" o:preferrelative="t" stroked="f" coordsize="21600,21600">
                  <v:path/>
                  <v:fill on="f" focussize="0,0"/>
                  <v:stroke on="f"/>
                  <v:imagedata r:id="rId7" o:title="OLE 对象"/>
                  <o:lock v:ext="edit" aspectratio="t"/>
                  <w10:wrap type="none"/>
                  <w10:anchorlock/>
                </v:shape>
                <o:OLEObject Type="Embed" ProgID="Unknown" ShapeID="_x0000_i1026" DrawAspect="Content" ObjectID="_1468075726" r:id="rId6">
                  <o:LockedField>false</o:LockedField>
                </o:OLEObject>
              </w:object>
            </w:r>
            <w:r>
              <w:rPr>
                <w:rFonts w:eastAsia="仿宋_GB2312"/>
                <w:b/>
                <w:bCs/>
                <w:color w:val="auto"/>
                <w:sz w:val="24"/>
                <w:szCs w:val="28"/>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0</wp:posOffset>
                      </wp:positionV>
                      <wp:extent cx="1143000" cy="396240"/>
                      <wp:effectExtent l="0" t="0" r="0" b="0"/>
                      <wp:wrapNone/>
                      <wp:docPr id="2" name="矩形 2"/>
                      <wp:cNvGraphicFramePr/>
                      <a:graphic xmlns:a="http://schemas.openxmlformats.org/drawingml/2006/main">
                        <a:graphicData uri="http://schemas.microsoft.com/office/word/2010/wordprocessingShape">
                          <wps:wsp>
                            <wps:cNvSpPr/>
                            <wps:spPr>
                              <a:xfrm>
                                <a:off x="0" y="0"/>
                                <a:ext cx="1143000" cy="396240"/>
                              </a:xfrm>
                              <a:prstGeom prst="rect">
                                <a:avLst/>
                              </a:prstGeom>
                              <a:noFill/>
                              <a:ln>
                                <a:noFill/>
                              </a:ln>
                            </wps:spPr>
                            <wps:txbx>
                              <w:txbxContent>
                                <w:p w14:paraId="4FE00DB1">
                                  <w:pPr>
                                    <w:ind w:firstLine="560"/>
                                  </w:pPr>
                                </w:p>
                              </w:txbxContent>
                            </wps:txbx>
                            <wps:bodyPr upright="1"/>
                          </wps:wsp>
                        </a:graphicData>
                      </a:graphic>
                    </wp:anchor>
                  </w:drawing>
                </mc:Choice>
                <mc:Fallback>
                  <w:pict>
                    <v:rect id="_x0000_s1026" o:spid="_x0000_s1026" o:spt="1" style="position:absolute;left:0pt;margin-left:17.85pt;margin-top:0pt;height:31.2pt;width:90pt;z-index:251660288;mso-width-relative:page;mso-height-relative:page;" filled="f" stroked="f" coordsize="21600,21600" o:gfxdata="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a4VRf1gAAAAYBAAAPAAAAAAAA&#10;AAEAIAAAACIAAABkcnMvZG93bnJldi54bWxQSwECFAAUAAAACACHTuJAkgaL7KIBAABBAwAADgAA&#10;AAAAAAABACAAAAAlAQAAZHJzL2Uyb0RvYy54bWxQSwUGAAAAAAYABgBZAQAAOQUAAAAA&#10;">
                      <v:fill on="f" focussize="0,0"/>
                      <v:stroke on="f"/>
                      <v:imagedata o:title=""/>
                      <o:lock v:ext="edit" aspectratio="f"/>
                      <v:textbox>
                        <w:txbxContent>
                          <w:p w14:paraId="4FE00DB1">
                            <w:pPr>
                              <w:ind w:firstLine="560"/>
                            </w:pPr>
                          </w:p>
                        </w:txbxContent>
                      </v:textbox>
                    </v:rect>
                  </w:pict>
                </mc:Fallback>
              </mc:AlternateContent>
            </w:r>
            <w:r>
              <w:rPr>
                <w:rFonts w:eastAsia="仿宋_GB2312"/>
                <w:color w:val="auto"/>
                <w:szCs w:val="28"/>
              </w:rPr>
              <w:t xml:space="preserve">              </w:t>
            </w:r>
            <w:r>
              <w:rPr>
                <w:rFonts w:eastAsia="仿宋_GB2312"/>
                <w:b/>
                <w:bCs/>
                <w:color w:val="auto"/>
                <w:szCs w:val="28"/>
              </w:rPr>
              <w:t xml:space="preserve"> </w:t>
            </w:r>
          </w:p>
          <w:p w14:paraId="759DC112">
            <w:pPr>
              <w:ind w:firstLine="560"/>
              <w:rPr>
                <w:color w:val="auto"/>
              </w:rPr>
            </w:pPr>
            <w:r>
              <w:rPr>
                <w:color w:val="auto"/>
              </w:rPr>
              <w:t>2</w:t>
            </w:r>
            <w:r>
              <w:rPr>
                <w:rFonts w:hint="eastAsia"/>
                <w:color w:val="auto"/>
              </w:rPr>
              <w:t>、</w:t>
            </w:r>
            <w:r>
              <w:rPr>
                <w:color w:val="auto"/>
              </w:rPr>
              <w:t>卸油油气回收工艺：</w:t>
            </w:r>
          </w:p>
          <w:p w14:paraId="3D41992D">
            <w:pPr>
              <w:ind w:firstLine="560"/>
              <w:rPr>
                <w:color w:val="auto"/>
              </w:rPr>
            </w:pPr>
            <w:r>
              <w:rPr>
                <w:color w:val="auto"/>
              </w:rPr>
              <w:t>在汽油油罐车卸油过程中，油罐车内压力减小，地下储油罐内压力增加，地下储油罐与油罐车内的压力差，使卸油过程中挥发的油气通过管线回到油罐车内，达到油气收集的目的。待卸油结束，地下储油罐与油罐车内压力达到平衡状态，卸油油气回收阶段结束。</w:t>
            </w:r>
          </w:p>
          <w:p w14:paraId="138C81B0">
            <w:pPr>
              <w:ind w:firstLine="0" w:firstLineChars="0"/>
              <w:jc w:val="center"/>
              <w:rPr>
                <w:b/>
                <w:color w:val="FF0000"/>
              </w:rPr>
            </w:pPr>
            <w:r>
              <w:rPr>
                <w:b/>
                <w:color w:val="FF0000"/>
              </w:rPr>
              <w:drawing>
                <wp:inline distT="0" distB="0" distL="114300" distR="114300">
                  <wp:extent cx="3937000" cy="1316355"/>
                  <wp:effectExtent l="0" t="0" r="0" b="4445"/>
                  <wp:docPr id="3" name="图片 3" descr="QQ图片201405141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40514152619"/>
                          <pic:cNvPicPr>
                            <a:picLocks noChangeAspect="1"/>
                          </pic:cNvPicPr>
                        </pic:nvPicPr>
                        <pic:blipFill>
                          <a:blip r:embed="rId8"/>
                          <a:stretch>
                            <a:fillRect/>
                          </a:stretch>
                        </pic:blipFill>
                        <pic:spPr>
                          <a:xfrm>
                            <a:off x="0" y="0"/>
                            <a:ext cx="3937000" cy="1316355"/>
                          </a:xfrm>
                          <a:prstGeom prst="rect">
                            <a:avLst/>
                          </a:prstGeom>
                          <a:noFill/>
                          <a:ln>
                            <a:noFill/>
                          </a:ln>
                        </pic:spPr>
                      </pic:pic>
                    </a:graphicData>
                  </a:graphic>
                </wp:inline>
              </w:drawing>
            </w:r>
          </w:p>
          <w:p w14:paraId="5580B8D1">
            <w:pPr>
              <w:ind w:firstLine="560"/>
              <w:jc w:val="center"/>
              <w:rPr>
                <w:color w:val="auto"/>
              </w:rPr>
            </w:pPr>
            <w:r>
              <w:rPr>
                <w:color w:val="auto"/>
              </w:rPr>
              <w:t>图</w:t>
            </w:r>
            <w:r>
              <w:rPr>
                <w:rFonts w:hint="eastAsia"/>
                <w:color w:val="auto"/>
                <w:lang w:val="en-US" w:eastAsia="zh-CN"/>
              </w:rPr>
              <w:t>2.7.1-1</w:t>
            </w:r>
            <w:r>
              <w:rPr>
                <w:color w:val="auto"/>
              </w:rPr>
              <w:t>卸油气回收工艺流程图</w:t>
            </w:r>
          </w:p>
          <w:p w14:paraId="47802009">
            <w:pPr>
              <w:keepNext w:val="0"/>
              <w:keepLines w:val="0"/>
              <w:widowControl/>
              <w:suppressLineNumbers w:val="0"/>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3、加油工艺 </w:t>
            </w:r>
          </w:p>
          <w:p w14:paraId="24BED707">
            <w:pPr>
              <w:keepNext w:val="0"/>
              <w:keepLines w:val="0"/>
              <w:widowControl/>
              <w:suppressLineNumbers w:val="0"/>
              <w:ind w:firstLine="420" w:firstLineChars="200"/>
              <w:jc w:val="left"/>
              <w:rPr>
                <w:color w:val="auto"/>
                <w:highlight w:val="none"/>
              </w:rPr>
            </w:pPr>
            <w:r>
              <w:rPr>
                <w:rFonts w:hint="eastAsia" w:ascii="宋体" w:hAnsi="宋体" w:eastAsia="宋体" w:cs="宋体"/>
                <w:color w:val="auto"/>
                <w:kern w:val="0"/>
                <w:sz w:val="21"/>
                <w:szCs w:val="21"/>
                <w:highlight w:val="none"/>
                <w:lang w:val="en-US" w:eastAsia="zh-CN" w:bidi="ar"/>
              </w:rPr>
              <w:t>加油作业时，利用潜油泵提供的动力，油品通过加油管道至加油机，进入汽车受油容器。同时，加汽油作业时，汽油设有油气回收系统，汽油油气通过油气回收管道回至汽油罐。具体流程见下图：</w:t>
            </w:r>
          </w:p>
          <w:p w14:paraId="7CFABCC0">
            <w:pPr>
              <w:pStyle w:val="21"/>
              <w:ind w:left="0" w:leftChars="0" w:firstLine="0" w:firstLineChars="0"/>
            </w:pPr>
            <w:r>
              <w:rPr>
                <w:bCs/>
                <w:color w:val="auto"/>
                <w:szCs w:val="28"/>
                <w:highlight w:val="none"/>
              </w:rPr>
              <mc:AlternateContent>
                <mc:Choice Requires="wpc">
                  <w:drawing>
                    <wp:inline distT="0" distB="0" distL="114300" distR="114300">
                      <wp:extent cx="5320030" cy="2574925"/>
                      <wp:effectExtent l="5080" t="0" r="0" b="3175"/>
                      <wp:docPr id="33" name="画布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文本框 4"/>
                              <wps:cNvSpPr txBox="1"/>
                              <wps:spPr>
                                <a:xfrm>
                                  <a:off x="1308100" y="2179320"/>
                                  <a:ext cx="2867025" cy="395605"/>
                                </a:xfrm>
                                <a:prstGeom prst="rect">
                                  <a:avLst/>
                                </a:prstGeom>
                                <a:solidFill>
                                  <a:srgbClr val="FFFFFF"/>
                                </a:solidFill>
                                <a:ln>
                                  <a:noFill/>
                                </a:ln>
                              </wps:spPr>
                              <wps:txb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2.7.1-3</w:t>
                                    </w:r>
                                    <w:r>
                                      <w:rPr>
                                        <w:rFonts w:hint="eastAsia" w:ascii="宋体" w:hAnsi="宋体"/>
                                        <w:b/>
                                        <w:sz w:val="24"/>
                                      </w:rPr>
                                      <w:t xml:space="preserve">  汽油加油工艺流程图</w:t>
                                    </w:r>
                                  </w:p>
                                </w:txbxContent>
                              </wps:txbx>
                              <wps:bodyPr upright="1"/>
                            </wps:wsp>
                            <wps:wsp>
                              <wps:cNvPr id="5" name="文本框 5"/>
                              <wps:cNvSpPr txBox="1"/>
                              <wps:spPr>
                                <a:xfrm>
                                  <a:off x="1383665" y="1920240"/>
                                  <a:ext cx="1057275" cy="297180"/>
                                </a:xfrm>
                                <a:prstGeom prst="rect">
                                  <a:avLst/>
                                </a:prstGeom>
                                <a:solidFill>
                                  <a:srgbClr val="FFFFFF"/>
                                </a:solidFill>
                                <a:ln>
                                  <a:noFill/>
                                </a:ln>
                              </wps:spPr>
                              <wps:txbx>
                                <w:txbxContent>
                                  <w:p w14:paraId="7CA5FCCA">
                                    <w:pPr>
                                      <w:rPr>
                                        <w:rFonts w:hint="eastAsia"/>
                                        <w:sz w:val="21"/>
                                        <w:szCs w:val="21"/>
                                      </w:rPr>
                                    </w:pPr>
                                    <w:r>
                                      <w:rPr>
                                        <w:rFonts w:hint="eastAsia"/>
                                        <w:sz w:val="21"/>
                                        <w:szCs w:val="21"/>
                                      </w:rPr>
                                      <w:t>油气回收管道</w:t>
                                    </w:r>
                                  </w:p>
                                </w:txbxContent>
                              </wps:txbx>
                              <wps:bodyPr upright="1"/>
                            </wps:wsp>
                            <wps:wsp>
                              <wps:cNvPr id="13" name="文本框 13"/>
                              <wps:cNvSpPr txBox="1"/>
                              <wps:spPr>
                                <a:xfrm>
                                  <a:off x="865505" y="0"/>
                                  <a:ext cx="685800" cy="396240"/>
                                </a:xfrm>
                                <a:prstGeom prst="rect">
                                  <a:avLst/>
                                </a:prstGeom>
                                <a:solidFill>
                                  <a:srgbClr val="FFFFFF"/>
                                </a:solidFill>
                                <a:ln>
                                  <a:noFill/>
                                </a:ln>
                              </wps:spPr>
                              <wps:txbx>
                                <w:txbxContent>
                                  <w:p w14:paraId="38FFBB60">
                                    <w:pPr>
                                      <w:ind w:left="0" w:leftChars="0" w:firstLine="0" w:firstLineChars="0"/>
                                    </w:pPr>
                                    <w:r>
                                      <w:rPr>
                                        <w:bCs/>
                                        <w:sz w:val="21"/>
                                        <w:szCs w:val="20"/>
                                      </w:rPr>
                                      <w:t>潜油泵</w:t>
                                    </w:r>
                                  </w:p>
                                </w:txbxContent>
                              </wps:txbx>
                              <wps:bodyPr upright="1"/>
                            </wps:wsp>
                            <wpg:wgp>
                              <wpg:cNvPr id="21" name="组合 21"/>
                              <wpg:cNvGrpSpPr/>
                              <wpg:grpSpPr>
                                <a:xfrm>
                                  <a:off x="0" y="142875"/>
                                  <a:ext cx="5088283" cy="468630"/>
                                  <a:chOff x="1869" y="6853"/>
                                  <a:chExt cx="8014" cy="738"/>
                                </a:xfrm>
                              </wpg:grpSpPr>
                              <wps:wsp>
                                <wps:cNvPr id="14" name="文本框 14"/>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286D01">
                                      <w:pPr>
                                        <w:spacing w:line="360" w:lineRule="auto"/>
                                        <w:ind w:left="0" w:leftChars="0" w:firstLine="0" w:firstLineChars="0"/>
                                        <w:jc w:val="both"/>
                                        <w:rPr>
                                          <w:sz w:val="21"/>
                                          <w:szCs w:val="21"/>
                                        </w:rPr>
                                      </w:pPr>
                                      <w:r>
                                        <w:rPr>
                                          <w:rFonts w:hint="eastAsia"/>
                                          <w:sz w:val="21"/>
                                          <w:szCs w:val="21"/>
                                        </w:rPr>
                                        <w:t>地下油罐</w:t>
                                      </w:r>
                                    </w:p>
                                  </w:txbxContent>
                                </wps:txbx>
                                <wps:bodyPr upright="1"/>
                              </wps:wsp>
                              <wps:wsp>
                                <wps:cNvPr id="15" name="直接连接符 15"/>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16" name="文本框 16"/>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DDA89">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17" name="直接连接符 17"/>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1E62D">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19" name="直接连接符 19"/>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8369" y="6899"/>
                                    <a:ext cx="1514" cy="6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CFF23">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22" name="文本框 22"/>
                              <wps:cNvSpPr txBox="1"/>
                              <wps:spPr>
                                <a:xfrm>
                                  <a:off x="1302385" y="693420"/>
                                  <a:ext cx="2867025" cy="395605"/>
                                </a:xfrm>
                                <a:prstGeom prst="rect">
                                  <a:avLst/>
                                </a:prstGeom>
                                <a:solidFill>
                                  <a:srgbClr val="FFFFFF"/>
                                </a:solidFill>
                                <a:ln>
                                  <a:noFill/>
                                </a:ln>
                              </wps:spPr>
                              <wps:txb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2.7.1-2</w:t>
                                    </w:r>
                                    <w:r>
                                      <w:rPr>
                                        <w:rFonts w:hint="eastAsia" w:ascii="宋体" w:hAnsi="宋体"/>
                                        <w:b/>
                                        <w:sz w:val="24"/>
                                      </w:rPr>
                                      <w:t xml:space="preserve">  柴油加油工艺流程图</w:t>
                                    </w:r>
                                  </w:p>
                                </w:txbxContent>
                              </wps:txbx>
                              <wps:bodyPr upright="1"/>
                            </wps:wsp>
                            <wpg:wgp>
                              <wpg:cNvPr id="30" name="组合 30"/>
                              <wpg:cNvGrpSpPr/>
                              <wpg:grpSpPr>
                                <a:xfrm>
                                  <a:off x="0" y="1276350"/>
                                  <a:ext cx="5026060" cy="480060"/>
                                  <a:chOff x="1869" y="6835"/>
                                  <a:chExt cx="7916" cy="756"/>
                                </a:xfrm>
                              </wpg:grpSpPr>
                              <wps:wsp>
                                <wps:cNvPr id="23" name="文本框 23"/>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322F0">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24" name="直接连接符 24"/>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25" name="文本框 25"/>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4B8870">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26" name="直接连接符 26"/>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27" name="文本框 27"/>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AD8861">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28" name="直接连接符 28"/>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9" name="文本框 29"/>
                                <wps:cNvSpPr txBox="1"/>
                                <wps:spPr>
                                  <a:xfrm>
                                    <a:off x="8369" y="6835"/>
                                    <a:ext cx="1416"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635A8">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31" name="肘形连接符 31"/>
                              <wps:cNvCnPr/>
                              <wps:spPr>
                                <a:xfrm rot="5400000">
                                  <a:off x="1755775" y="259080"/>
                                  <a:ext cx="635" cy="2771140"/>
                                </a:xfrm>
                                <a:prstGeom prst="bentConnector3">
                                  <a:avLst>
                                    <a:gd name="adj1" fmla="val 36000000"/>
                                  </a:avLst>
                                </a:prstGeom>
                                <a:ln w="9525" cap="flat" cmpd="sng">
                                  <a:solidFill>
                                    <a:srgbClr val="000000"/>
                                  </a:solidFill>
                                  <a:prstDash val="solid"/>
                                  <a:miter/>
                                  <a:headEnd type="none" w="med" len="med"/>
                                  <a:tailEnd type="triangle" w="med" len="med"/>
                                </a:ln>
                              </wps:spPr>
                              <wps:bodyPr/>
                            </wps:wsp>
                            <wps:wsp>
                              <wps:cNvPr id="32" name="文本框 32"/>
                              <wps:cNvSpPr txBox="1"/>
                              <wps:spPr>
                                <a:xfrm>
                                  <a:off x="884555" y="1068705"/>
                                  <a:ext cx="685800" cy="299085"/>
                                </a:xfrm>
                                <a:prstGeom prst="rect">
                                  <a:avLst/>
                                </a:prstGeom>
                                <a:noFill/>
                                <a:ln>
                                  <a:noFill/>
                                </a:ln>
                              </wps:spPr>
                              <wps:txbx>
                                <w:txbxContent>
                                  <w:p w14:paraId="44AD310C">
                                    <w:pPr>
                                      <w:ind w:left="0" w:leftChars="0" w:firstLine="0" w:firstLineChars="0"/>
                                    </w:pPr>
                                    <w:r>
                                      <w:rPr>
                                        <w:bCs/>
                                        <w:sz w:val="21"/>
                                        <w:szCs w:val="20"/>
                                      </w:rPr>
                                      <w:t>潜油泵</w:t>
                                    </w:r>
                                  </w:p>
                                </w:txbxContent>
                              </wps:txbx>
                              <wps:bodyPr upright="1"/>
                            </wps:wsp>
                          </wpc:wpc>
                        </a:graphicData>
                      </a:graphic>
                    </wp:inline>
                  </w:drawing>
                </mc:Choice>
                <mc:Fallback>
                  <w:pict>
                    <v:group id="_x0000_s1026" o:spid="_x0000_s1026" o:spt="203" style="height:202.75pt;width:418.9pt;" coordsize="5320030,2574925" editas="canvas"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2W&#10;JZzXAAAABQEAAA8AAAAAAAAAAQAgAAAAIgAAAGRycy9kb3ducmV2LnhtbFBLAQIUABQAAAAIAIdO&#10;4kB3LwClJgYAABQvAAAOAAAAAAAAAAEAIAAAACYBAABkcnMvZTJvRG9jLnhtbFBLBQYAAAAABgAG&#10;AFkBAAC+CQAAAAA=&#10;">
                      <o:lock v:ext="edit" aspectratio="f"/>
                      <v:shape id="_x0000_s1026" o:spid="_x0000_s1026" style="position:absolute;left:0;top:0;height:2574925;width:5320030;" filled="f" stroked="f" coordsize="21600,21600"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D9liWc1wAAAAUBAAAPAAAA&#10;AAAAAAEAIAAAACIAAABkcnMvZG93bnJldi54bWxQSwECFAAUAAAACACHTuJAk/rdhxgGAACHLgAA&#10;DgAAAAAAAAABACAAAAAmAQAAZHJzL2Uyb0RvYy54bWxQSwUGAAAAAAYABgBZAQAAsAkAAAAA&#10;">
                        <v:fill on="f" focussize="0,0"/>
                        <v:stroke on="f"/>
                        <v:imagedata o:title=""/>
                        <o:lock v:ext="edit" aspectratio="t"/>
                      </v:shape>
                      <v:shape id="_x0000_s1026" o:spid="_x0000_s1026" o:spt="202" type="#_x0000_t202" style="position:absolute;left:1308100;top:21793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jRa8j80BAACDAwAADgAAAAAAAAABACAAAAAkAQAA&#10;ZHJzL2Uyb0RvYy54bWxQSwUGAAAAAAYABgBZAQAAYwUAAAAA&#10;">
                        <v:fill on="t" focussize="0,0"/>
                        <v:stroke on="f"/>
                        <v:imagedata o:title=""/>
                        <o:lock v:ext="edit" aspectratio="f"/>
                        <v:textbo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2.7.1-3</w:t>
                              </w:r>
                              <w:r>
                                <w:rPr>
                                  <w:rFonts w:hint="eastAsia" w:ascii="宋体" w:hAnsi="宋体"/>
                                  <w:b/>
                                  <w:sz w:val="24"/>
                                </w:rPr>
                                <w:t xml:space="preserve">  汽油加油工艺流程图</w:t>
                              </w:r>
                            </w:p>
                          </w:txbxContent>
                        </v:textbox>
                      </v:shape>
                      <v:shape id="_x0000_s1026" o:spid="_x0000_s1026" o:spt="202" type="#_x0000_t202" style="position:absolute;left:1383665;top:1920240;height:297180;width:105727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wxR9TVAAAABQEAAA8AAAAAAAAAAQAgAAAAIgAAAGRycy9k&#10;b3ducmV2LnhtbFBLAQIUABQAAAAIAIdO4kAKA2qBzAEAAIMDAAAOAAAAAAAAAAEAIAAAACQBAABk&#10;cnMvZTJvRG9jLnhtbFBLBQYAAAAABgAGAFkBAABiBQAAAAA=&#10;">
                        <v:fill on="t" focussize="0,0"/>
                        <v:stroke on="f"/>
                        <v:imagedata o:title=""/>
                        <o:lock v:ext="edit" aspectratio="f"/>
                        <v:textbox>
                          <w:txbxContent>
                            <w:p w14:paraId="7CA5FCCA">
                              <w:pPr>
                                <w:rPr>
                                  <w:rFonts w:hint="eastAsia"/>
                                  <w:sz w:val="21"/>
                                  <w:szCs w:val="21"/>
                                </w:rPr>
                              </w:pPr>
                              <w:r>
                                <w:rPr>
                                  <w:rFonts w:hint="eastAsia"/>
                                  <w:sz w:val="21"/>
                                  <w:szCs w:val="21"/>
                                </w:rPr>
                                <w:t>油气回收管道</w:t>
                              </w:r>
                            </w:p>
                          </w:txbxContent>
                        </v:textbox>
                      </v:shape>
                      <v:shape id="_x0000_s1026" o:spid="_x0000_s1026" o:spt="202" type="#_x0000_t202" style="position:absolute;left:865505;top:0;height:396240;width:685800;"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DFH1NUAAAAFAQAADwAAAAAAAAABACAAAAAiAAAAZHJzL2Rvd25y&#10;ZXYueG1sUEsBAhQAFAAAAAgAh07iQJ0eReLIAQAAfQMAAA4AAAAAAAAAAQAgAAAAJAEAAGRycy9l&#10;Mm9Eb2MueG1sUEsFBgAAAAAGAAYAWQEAAF4FAAAAAA==&#10;">
                        <v:fill on="t" focussize="0,0"/>
                        <v:stroke on="f"/>
                        <v:imagedata o:title=""/>
                        <o:lock v:ext="edit" aspectratio="f"/>
                        <v:textbox>
                          <w:txbxContent>
                            <w:p w14:paraId="38FFBB60">
                              <w:pPr>
                                <w:ind w:left="0" w:leftChars="0" w:firstLine="0" w:firstLineChars="0"/>
                              </w:pPr>
                              <w:r>
                                <w:rPr>
                                  <w:bCs/>
                                  <w:sz w:val="21"/>
                                  <w:szCs w:val="20"/>
                                </w:rPr>
                                <w:t>潜油泵</w:t>
                              </w:r>
                            </w:p>
                          </w:txbxContent>
                        </v:textbox>
                      </v:shape>
                      <v:group id="_x0000_s1026" o:spid="_x0000_s1026" o:spt="203" style="position:absolute;left:0;top:142875;height:468630;width:5088283;" coordorigin="1869,6853" coordsize="8014,738"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GqNZOfWAAAABQEAAA8AAAAAAAAA&#10;AQAgAAAAIgAAAGRycy9kb3ducmV2LnhtbFBLAQIUABQAAAAIAIdO4kALfh4ZogMAAKYSAAAOAAAA&#10;AAAAAAEAIAAAACUBAABkcnMvZTJvRG9jLnhtbFBLBQYAAAAABgAGAFkBAAA5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286D01">
                                <w:pPr>
                                  <w:spacing w:line="360" w:lineRule="auto"/>
                                  <w:ind w:left="0" w:leftChars="0" w:firstLine="0" w:firstLineChars="0"/>
                                  <w:jc w:val="both"/>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1DDA89">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C1E62D">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6899;height:692;width:151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99CFF23">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202" type="#_x0000_t202" style="position:absolute;left:1302385;top:6934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oNHebM0BAACEAwAADgAAAAAAAAABACAAAAAkAQAA&#10;ZHJzL2Uyb0RvYy54bWxQSwUGAAAAAAYABgBZAQAAYwUAAAAA&#10;">
                        <v:fill on="t" focussize="0,0"/>
                        <v:stroke on="f"/>
                        <v:imagedata o:title=""/>
                        <o:lock v:ext="edit" aspectratio="f"/>
                        <v:textbo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2.7.1-2</w:t>
                              </w:r>
                              <w:r>
                                <w:rPr>
                                  <w:rFonts w:hint="eastAsia" w:ascii="宋体" w:hAnsi="宋体"/>
                                  <w:b/>
                                  <w:sz w:val="24"/>
                                </w:rPr>
                                <w:t xml:space="preserve">  柴油加油工艺流程图</w:t>
                              </w:r>
                            </w:p>
                          </w:txbxContent>
                        </v:textbox>
                      </v:shape>
                      <v:group id="_x0000_s1026" o:spid="_x0000_s1026" o:spt="203" style="position:absolute;left:0;top:1276350;height:480060;width:5026060;" coordorigin="1869,6835" coordsize="7916,756"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GqNZOfWAAAABQEAAA8AAAAAAAAAAQAgAAAAIgAAAGRycy9kb3du&#10;cmV2LnhtbFBLAQIUABQAAAAIAIdO4kAJO1ZzkAMAAKcSAAAOAAAAAAAAAAEAIAAAACUBAABkcnMv&#10;ZTJvRG9jLnhtbFBLBQYAAAAABgAGAFkBAAAn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3322F0">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4B8870">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AD8861">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369;top:6835;height:756;width:1416;"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2635A8">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34" type="#_x0000_t34" style="position:absolute;left:1755775;top:259080;height:2771140;width:635;rotation:5898240f;" filled="f" stroked="t" coordsize="21600,21600" o:gfxdata="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Cve71QAAAAUBAAAPAAAAAAAAAAEAIAAAACIAAABkcnMvZG93bnJldi54bWxQ&#10;SwECFAAUAAAACACHTuJAZH0I9zMCAAA9BAAADgAAAAAAAAABACAAAAAkAQAAZHJzL2Uyb0RvYy54&#10;bWxQSwUGAAAAAAYABgBZAQAAyQUAAAAA&#10;" adj="7776000">
                        <v:fill on="f" focussize="0,0"/>
                        <v:stroke color="#000000" joinstyle="miter" endarrow="block"/>
                        <v:imagedata o:title=""/>
                        <o:lock v:ext="edit" aspectratio="f"/>
                      </v:shape>
                      <v:shape id="_x0000_s1026" o:spid="_x0000_s1026" o:spt="202" type="#_x0000_t202" style="position:absolute;left:884555;top:1068705;height:299085;width:685800;" filled="f" stroked="f" coordsize="21600,21600" o:gfxdata="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UlcXtMAAAAFAQAADwAAAAAAAAABACAAAAAiAAAAZHJzL2Rvd25yZXYueG1sUEsBAhQAFAAAAAgA&#10;h07iQKCHO864AQAAWgMAAA4AAAAAAAAAAQAgAAAAIgEAAGRycy9lMm9Eb2MueG1sUEsFBgAAAAAG&#10;AAYAWQEAAEwFAAAAAA==&#10;">
                        <v:fill on="f" focussize="0,0"/>
                        <v:stroke on="f"/>
                        <v:imagedata o:title=""/>
                        <o:lock v:ext="edit" aspectratio="f"/>
                        <v:textbox>
                          <w:txbxContent>
                            <w:p w14:paraId="44AD310C">
                              <w:pPr>
                                <w:ind w:left="0" w:leftChars="0" w:firstLine="0" w:firstLineChars="0"/>
                              </w:pPr>
                              <w:r>
                                <w:rPr>
                                  <w:bCs/>
                                  <w:sz w:val="21"/>
                                  <w:szCs w:val="20"/>
                                </w:rPr>
                                <w:t>潜油泵</w:t>
                              </w:r>
                            </w:p>
                          </w:txbxContent>
                        </v:textbox>
                      </v:shape>
                      <w10:wrap type="none"/>
                      <w10:anchorlock/>
                    </v:group>
                  </w:pict>
                </mc:Fallback>
              </mc:AlternateConten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23DCE7C">
      <w:pPr>
        <w:rPr>
          <w:rFonts w:hint="eastAsia"/>
          <w:lang w:eastAsia="zh-CN"/>
        </w:rPr>
      </w:pPr>
      <w:r>
        <w:rPr>
          <w:rFonts w:hint="eastAsia"/>
          <w:color w:val="auto"/>
          <w:highlight w:val="none"/>
          <w:lang w:val="en-US" w:eastAsia="zh-CN"/>
        </w:rPr>
        <w:drawing>
          <wp:anchor distT="0" distB="0" distL="114300" distR="114300" simplePos="0" relativeHeight="251661312" behindDoc="0" locked="0" layoutInCell="1" allowOverlap="1">
            <wp:simplePos x="0" y="0"/>
            <wp:positionH relativeFrom="column">
              <wp:posOffset>-78105</wp:posOffset>
            </wp:positionH>
            <wp:positionV relativeFrom="paragraph">
              <wp:posOffset>768350</wp:posOffset>
            </wp:positionV>
            <wp:extent cx="5812155" cy="4358640"/>
            <wp:effectExtent l="0" t="0" r="4445" b="10160"/>
            <wp:wrapNone/>
            <wp:docPr id="6" name="图片 3" descr="81cfe1077a706751949a697793cfa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81cfe1077a706751949a697793cfada9"/>
                    <pic:cNvPicPr>
                      <a:picLocks noChangeAspect="1"/>
                    </pic:cNvPicPr>
                  </pic:nvPicPr>
                  <pic:blipFill>
                    <a:blip r:embed="rId9"/>
                    <a:stretch>
                      <a:fillRect/>
                    </a:stretch>
                  </pic:blipFill>
                  <pic:spPr>
                    <a:xfrm>
                      <a:off x="0" y="0"/>
                      <a:ext cx="5812155" cy="4358640"/>
                    </a:xfrm>
                    <a:prstGeom prst="rect">
                      <a:avLst/>
                    </a:prstGeom>
                    <a:noFill/>
                    <a:ln>
                      <a:noFill/>
                    </a:ln>
                  </pic:spPr>
                </pic:pic>
              </a:graphicData>
            </a:graphic>
          </wp:anchor>
        </w:drawing>
      </w:r>
      <w:r>
        <w:rPr>
          <w:rFonts w:hint="eastAsia"/>
          <w:lang w:eastAsia="zh-CN"/>
        </w:rPr>
        <w:br w:type="page"/>
      </w:r>
      <w:r>
        <w:rPr>
          <w:rFonts w:hint="eastAsia"/>
          <w:lang w:eastAsia="zh-CN"/>
        </w:rPr>
        <w:br w:type="page"/>
      </w:r>
      <w:bookmarkStart w:id="0" w:name="_GoBack"/>
      <w:bookmarkEnd w:id="0"/>
      <w:r>
        <w:rPr>
          <w:rFonts w:hint="eastAsia"/>
          <w:lang w:eastAsia="zh-CN"/>
        </w:rPr>
        <w:drawing>
          <wp:anchor distT="0" distB="0" distL="114300" distR="114300" simplePos="0" relativeHeight="251662336" behindDoc="0" locked="0" layoutInCell="1" allowOverlap="1">
            <wp:simplePos x="0" y="0"/>
            <wp:positionH relativeFrom="column">
              <wp:posOffset>-878840</wp:posOffset>
            </wp:positionH>
            <wp:positionV relativeFrom="paragraph">
              <wp:posOffset>929640</wp:posOffset>
            </wp:positionV>
            <wp:extent cx="7028180" cy="5271135"/>
            <wp:effectExtent l="0" t="0" r="5715" b="1270"/>
            <wp:wrapNone/>
            <wp:docPr id="1" name="图片 1" descr="4099c3f91d41d9cc9020248834a3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099c3f91d41d9cc9020248834a34734"/>
                    <pic:cNvPicPr>
                      <a:picLocks noChangeAspect="1"/>
                    </pic:cNvPicPr>
                  </pic:nvPicPr>
                  <pic:blipFill>
                    <a:blip r:embed="rId10"/>
                    <a:stretch>
                      <a:fillRect/>
                    </a:stretch>
                  </pic:blipFill>
                  <pic:spPr>
                    <a:xfrm rot="5400000">
                      <a:off x="0" y="0"/>
                      <a:ext cx="7028180" cy="5271135"/>
                    </a:xfrm>
                    <a:prstGeom prst="rect">
                      <a:avLst/>
                    </a:prstGeom>
                  </pic:spPr>
                </pic:pic>
              </a:graphicData>
            </a:graphic>
          </wp:anchor>
        </w:drawing>
      </w:r>
    </w:p>
    <w:p w14:paraId="2B1DFF98">
      <w:pPr>
        <w:pStyle w:val="21"/>
        <w:ind w:left="0" w:leftChars="0" w:firstLine="0" w:firstLineChars="0"/>
        <w:jc w:val="center"/>
        <w:rPr>
          <w:rFonts w:hint="eastAsia"/>
          <w:lang w:eastAsia="zh-CN"/>
        </w:rPr>
      </w:pPr>
      <w:r>
        <w:drawing>
          <wp:inline distT="0" distB="0" distL="114300" distR="114300">
            <wp:extent cx="5760085" cy="6684645"/>
            <wp:effectExtent l="0" t="0" r="5715" b="8255"/>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11"/>
                    <a:srcRect l="-686" t="397"/>
                    <a:stretch>
                      <a:fillRect/>
                    </a:stretch>
                  </pic:blipFill>
                  <pic:spPr>
                    <a:xfrm>
                      <a:off x="0" y="0"/>
                      <a:ext cx="5760085" cy="668464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57101E0"/>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Pages>
  <Words>1225</Words>
  <Characters>1412</Characters>
  <Lines>8</Lines>
  <Paragraphs>2</Paragraphs>
  <TotalTime>1</TotalTime>
  <ScaleCrop>false</ScaleCrop>
  <LinksUpToDate>false</LinksUpToDate>
  <CharactersWithSpaces>1429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2025-10-23T08:46:01Z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60F9382176554F50AF12B8184D44ED7D_13</vt:lpwstr>
  </property>
  <property fmtid="{D5CDD505-2E9C-101B-9397-08002B2CF9AE}" pid="4" name="KSOTemplateDocerSaveRecord">
    <vt:lpwstr>eyJoZGlkIjoiNDgzMjdiZTZhYWEwMDUyMzMwMzdhZWM2ZmNjMGMzMDkiLCJ1c2VySWQiOiI1NzcyNjAwMzgifQ==</vt:lpwstr>
  </property>
</Properties>
</file>