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75E4E5">
      <w:pPr>
        <w:jc w:val="both"/>
        <w:rPr>
          <w:rFonts w:hint="eastAsia" w:ascii="Times New Roman" w:hAnsi="Times New Roman"/>
          <w:kern w:val="0"/>
          <w:sz w:val="28"/>
          <w:szCs w:val="28"/>
          <w:shd w:val="clear" w:color="auto" w:fill="FFFFFF"/>
        </w:rPr>
      </w:pPr>
    </w:p>
    <w:p w14:paraId="59618447">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2"/>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373CD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68DE56CE">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20B9C570">
            <w:pPr>
              <w:widowControl/>
              <w:spacing w:after="150"/>
              <w:jc w:val="center"/>
              <w:rPr>
                <w:rFonts w:hint="eastAsia" w:ascii="宋体" w:hAnsi="宋体" w:eastAsia="宋体" w:cs="宋体"/>
                <w:sz w:val="24"/>
                <w:lang w:eastAsia="zh-CN"/>
              </w:rPr>
            </w:pPr>
            <w:r>
              <w:rPr>
                <w:rFonts w:hint="eastAsia" w:ascii="宋体" w:hAnsi="宋体"/>
                <w:sz w:val="24"/>
                <w:szCs w:val="22"/>
                <w:lang w:eastAsia="zh-CN"/>
              </w:rPr>
              <w:t>江西久泰实业有限公司在役生产装置安全现状评价报告</w:t>
            </w:r>
          </w:p>
        </w:tc>
      </w:tr>
      <w:tr w14:paraId="7C1C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5AE2E23C">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5D51C70B">
            <w:pPr>
              <w:widowControl/>
              <w:spacing w:after="150"/>
              <w:jc w:val="center"/>
              <w:rPr>
                <w:rFonts w:ascii="宋体" w:hAnsi="宋体" w:cs="宋体"/>
                <w:sz w:val="24"/>
              </w:rPr>
            </w:pPr>
            <w:r>
              <w:rPr>
                <w:rFonts w:hint="eastAsia" w:ascii="宋体" w:hAnsi="宋体" w:cs="宋体"/>
                <w:sz w:val="24"/>
              </w:rPr>
              <w:t>202</w:t>
            </w:r>
            <w:r>
              <w:rPr>
                <w:rFonts w:hint="eastAsia" w:ascii="宋体" w:hAnsi="宋体" w:cs="宋体"/>
                <w:sz w:val="24"/>
                <w:lang w:val="en-US" w:eastAsia="zh-CN"/>
              </w:rPr>
              <w:t>5</w:t>
            </w:r>
            <w:r>
              <w:rPr>
                <w:rFonts w:hint="eastAsia" w:ascii="宋体" w:hAnsi="宋体" w:cs="宋体"/>
                <w:sz w:val="24"/>
              </w:rPr>
              <w:t>年</w:t>
            </w:r>
            <w:r>
              <w:rPr>
                <w:rFonts w:hint="eastAsia" w:ascii="宋体" w:hAnsi="宋体" w:cs="宋体"/>
                <w:sz w:val="24"/>
                <w:lang w:val="en-US" w:eastAsia="zh-CN"/>
              </w:rPr>
              <w:t>5</w:t>
            </w:r>
            <w:r>
              <w:rPr>
                <w:rFonts w:hint="eastAsia" w:ascii="宋体" w:hAnsi="宋体" w:cs="宋体"/>
                <w:sz w:val="24"/>
              </w:rPr>
              <w:t>月</w:t>
            </w:r>
          </w:p>
        </w:tc>
      </w:tr>
      <w:tr w14:paraId="0A60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1A712124">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108E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5378F62E">
            <w:pPr>
              <w:jc w:val="center"/>
              <w:rPr>
                <w:rFonts w:ascii="宋体" w:hAnsi="宋体" w:cs="宋体"/>
                <w:sz w:val="24"/>
              </w:rPr>
            </w:pPr>
          </w:p>
        </w:tc>
        <w:tc>
          <w:tcPr>
            <w:tcW w:w="1237" w:type="dxa"/>
            <w:tcBorders>
              <w:tl2br w:val="nil"/>
              <w:tr2bl w:val="nil"/>
            </w:tcBorders>
            <w:shd w:val="clear" w:color="auto" w:fill="FFFFFF"/>
            <w:vAlign w:val="center"/>
          </w:tcPr>
          <w:p w14:paraId="7DF4D41E">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0B76ABB8">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271448A8">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9DC7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2A157C85">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2AD910A2">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徐顺星</w:t>
            </w:r>
          </w:p>
        </w:tc>
        <w:tc>
          <w:tcPr>
            <w:tcW w:w="4803" w:type="dxa"/>
            <w:tcBorders>
              <w:tl2br w:val="nil"/>
              <w:tr2bl w:val="nil"/>
            </w:tcBorders>
            <w:shd w:val="clear" w:color="auto" w:fill="FFFFFF"/>
            <w:vAlign w:val="center"/>
          </w:tcPr>
          <w:p w14:paraId="4616A48C">
            <w:pPr>
              <w:spacing w:before="190" w:beforeLines="50" w:after="190" w:afterLines="50" w:line="240" w:lineRule="auto"/>
              <w:ind w:left="0" w:leftChars="0"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S011041000110192</w:t>
            </w:r>
          </w:p>
          <w:p w14:paraId="15BC6CF5">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002229</w:t>
            </w:r>
          </w:p>
        </w:tc>
        <w:tc>
          <w:tcPr>
            <w:tcW w:w="2115" w:type="dxa"/>
            <w:tcBorders>
              <w:tl2br w:val="nil"/>
              <w:tr2bl w:val="nil"/>
            </w:tcBorders>
            <w:shd w:val="clear" w:color="auto" w:fill="FFFFFF"/>
            <w:vAlign w:val="center"/>
          </w:tcPr>
          <w:p w14:paraId="5954E4E9">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018803</w:t>
            </w:r>
          </w:p>
        </w:tc>
      </w:tr>
      <w:tr w14:paraId="5AC08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58DF1A50">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7C70241C">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吴红玉</w:t>
            </w:r>
          </w:p>
        </w:tc>
        <w:tc>
          <w:tcPr>
            <w:tcW w:w="4803" w:type="dxa"/>
            <w:tcBorders>
              <w:tl2br w:val="nil"/>
              <w:tr2bl w:val="nil"/>
            </w:tcBorders>
            <w:shd w:val="clear" w:color="auto" w:fill="FFFFFF"/>
            <w:vAlign w:val="center"/>
          </w:tcPr>
          <w:p w14:paraId="1484D1DC">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1200000000300398</w:t>
            </w:r>
          </w:p>
        </w:tc>
        <w:tc>
          <w:tcPr>
            <w:tcW w:w="2115" w:type="dxa"/>
            <w:tcBorders>
              <w:tl2br w:val="nil"/>
              <w:tr2bl w:val="nil"/>
            </w:tcBorders>
            <w:shd w:val="clear" w:color="auto" w:fill="FFFFFF"/>
            <w:vAlign w:val="center"/>
          </w:tcPr>
          <w:p w14:paraId="782951DB">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025175</w:t>
            </w:r>
          </w:p>
        </w:tc>
      </w:tr>
      <w:tr w14:paraId="66394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0887BEAF">
            <w:pPr>
              <w:jc w:val="center"/>
              <w:rPr>
                <w:rFonts w:ascii="宋体" w:hAnsi="宋体" w:cs="宋体"/>
                <w:sz w:val="24"/>
              </w:rPr>
            </w:pPr>
          </w:p>
        </w:tc>
        <w:tc>
          <w:tcPr>
            <w:tcW w:w="1237" w:type="dxa"/>
            <w:tcBorders>
              <w:tl2br w:val="nil"/>
              <w:tr2bl w:val="nil"/>
            </w:tcBorders>
            <w:shd w:val="clear" w:color="auto" w:fill="FFFFFF"/>
            <w:vAlign w:val="center"/>
          </w:tcPr>
          <w:p w14:paraId="3AECF605">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张晋慧</w:t>
            </w:r>
          </w:p>
        </w:tc>
        <w:tc>
          <w:tcPr>
            <w:tcW w:w="4803" w:type="dxa"/>
            <w:tcBorders>
              <w:tl2br w:val="nil"/>
              <w:tr2bl w:val="nil"/>
            </w:tcBorders>
            <w:shd w:val="clear" w:color="auto" w:fill="FFFFFF"/>
            <w:vAlign w:val="center"/>
          </w:tcPr>
          <w:p w14:paraId="3F218D8D">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1100000000302946</w:t>
            </w:r>
          </w:p>
        </w:tc>
        <w:tc>
          <w:tcPr>
            <w:tcW w:w="2115" w:type="dxa"/>
            <w:tcBorders>
              <w:tl2br w:val="nil"/>
              <w:tr2bl w:val="nil"/>
            </w:tcBorders>
            <w:shd w:val="clear" w:color="auto" w:fill="FFFFFF"/>
            <w:vAlign w:val="center"/>
          </w:tcPr>
          <w:p w14:paraId="0F0D8BA0">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020045</w:t>
            </w:r>
          </w:p>
        </w:tc>
      </w:tr>
      <w:tr w14:paraId="1D69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2BC1C2A7">
            <w:pPr>
              <w:jc w:val="center"/>
              <w:rPr>
                <w:rFonts w:ascii="宋体" w:hAnsi="宋体" w:cs="宋体"/>
                <w:sz w:val="24"/>
              </w:rPr>
            </w:pPr>
          </w:p>
        </w:tc>
        <w:tc>
          <w:tcPr>
            <w:tcW w:w="1237" w:type="dxa"/>
            <w:tcBorders>
              <w:tl2br w:val="nil"/>
              <w:tr2bl w:val="nil"/>
            </w:tcBorders>
            <w:shd w:val="clear" w:color="auto" w:fill="FFFFFF"/>
            <w:vAlign w:val="center"/>
          </w:tcPr>
          <w:p w14:paraId="49EA8F9A">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舒斌</w:t>
            </w:r>
          </w:p>
        </w:tc>
        <w:tc>
          <w:tcPr>
            <w:tcW w:w="4803" w:type="dxa"/>
            <w:tcBorders>
              <w:tl2br w:val="nil"/>
              <w:tr2bl w:val="nil"/>
            </w:tcBorders>
            <w:shd w:val="clear" w:color="auto" w:fill="FFFFFF"/>
            <w:vAlign w:val="center"/>
          </w:tcPr>
          <w:p w14:paraId="3AFA1E3D">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0800000000205889</w:t>
            </w:r>
            <w:bookmarkStart w:id="0" w:name="_GoBack"/>
            <w:bookmarkEnd w:id="0"/>
          </w:p>
        </w:tc>
        <w:tc>
          <w:tcPr>
            <w:tcW w:w="2115" w:type="dxa"/>
            <w:tcBorders>
              <w:tl2br w:val="nil"/>
              <w:tr2bl w:val="nil"/>
            </w:tcBorders>
            <w:shd w:val="clear" w:color="auto" w:fill="FFFFFF"/>
            <w:vAlign w:val="center"/>
          </w:tcPr>
          <w:p w14:paraId="40BC3936">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013031</w:t>
            </w:r>
          </w:p>
        </w:tc>
      </w:tr>
      <w:tr w14:paraId="160E2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6906CDEE">
            <w:pPr>
              <w:jc w:val="center"/>
              <w:rPr>
                <w:rFonts w:ascii="宋体" w:hAnsi="宋体" w:cs="宋体"/>
                <w:sz w:val="24"/>
              </w:rPr>
            </w:pPr>
          </w:p>
        </w:tc>
        <w:tc>
          <w:tcPr>
            <w:tcW w:w="1237" w:type="dxa"/>
            <w:tcBorders>
              <w:tl2br w:val="nil"/>
              <w:tr2bl w:val="nil"/>
            </w:tcBorders>
            <w:shd w:val="clear" w:color="auto" w:fill="FFFFFF"/>
            <w:vAlign w:val="center"/>
          </w:tcPr>
          <w:p w14:paraId="71F8DBD5">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岳强</w:t>
            </w:r>
          </w:p>
        </w:tc>
        <w:tc>
          <w:tcPr>
            <w:tcW w:w="4803" w:type="dxa"/>
            <w:tcBorders>
              <w:tl2br w:val="nil"/>
              <w:tr2bl w:val="nil"/>
            </w:tcBorders>
            <w:shd w:val="clear" w:color="auto" w:fill="FFFFFF"/>
            <w:vAlign w:val="center"/>
          </w:tcPr>
          <w:p w14:paraId="331FAC55">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0800000000102212</w:t>
            </w:r>
          </w:p>
        </w:tc>
        <w:tc>
          <w:tcPr>
            <w:tcW w:w="2115" w:type="dxa"/>
            <w:tcBorders>
              <w:tl2br w:val="nil"/>
              <w:tr2bl w:val="nil"/>
            </w:tcBorders>
            <w:shd w:val="clear" w:color="auto" w:fill="FFFFFF"/>
            <w:vAlign w:val="center"/>
          </w:tcPr>
          <w:p w14:paraId="23566468">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002352</w:t>
            </w:r>
          </w:p>
        </w:tc>
      </w:tr>
      <w:tr w14:paraId="543F5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9B802E8">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0A57008B">
            <w:pPr>
              <w:jc w:val="center"/>
              <w:rPr>
                <w:rFonts w:ascii="宋体" w:hAnsi="宋体" w:cs="宋体"/>
                <w:sz w:val="24"/>
              </w:rPr>
            </w:pPr>
            <w:r>
              <w:rPr>
                <w:rFonts w:hint="eastAsia" w:ascii="宋体" w:hAnsi="宋体" w:cs="宋体"/>
                <w:sz w:val="24"/>
              </w:rPr>
              <w:t>/</w:t>
            </w:r>
          </w:p>
        </w:tc>
      </w:tr>
      <w:tr w14:paraId="4686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041177EC">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1D05DF95">
            <w:pPr>
              <w:widowControl/>
              <w:spacing w:after="150"/>
              <w:jc w:val="center"/>
              <w:rPr>
                <w:rFonts w:hint="default" w:ascii="Times New Roman" w:hAnsi="Times New Roman" w:eastAsia="宋体"/>
                <w:sz w:val="24"/>
                <w:lang w:val="en-US" w:eastAsia="zh-CN"/>
              </w:rPr>
            </w:pPr>
            <w:r>
              <w:rPr>
                <w:rFonts w:hint="eastAsia" w:ascii="宋体" w:hAnsi="宋体" w:eastAsia="宋体" w:cs="宋体"/>
                <w:color w:val="000000"/>
                <w:sz w:val="24"/>
                <w:szCs w:val="24"/>
              </w:rPr>
              <w:t>徐顺星</w:t>
            </w:r>
            <w:r>
              <w:rPr>
                <w:rFonts w:hint="eastAsia"/>
                <w:color w:val="000000"/>
                <w:sz w:val="24"/>
              </w:rPr>
              <w:t>、</w:t>
            </w:r>
            <w:r>
              <w:rPr>
                <w:rFonts w:hint="eastAsia" w:ascii="宋体" w:hAnsi="宋体" w:eastAsia="宋体" w:cs="宋体"/>
                <w:color w:val="000000"/>
                <w:sz w:val="24"/>
                <w:szCs w:val="24"/>
                <w:lang w:val="en-US" w:eastAsia="zh-CN"/>
              </w:rPr>
              <w:t>吴红玉</w:t>
            </w:r>
            <w:r>
              <w:rPr>
                <w:rFonts w:hint="eastAsia"/>
                <w:sz w:val="24"/>
              </w:rPr>
              <w:t>202</w:t>
            </w:r>
            <w:r>
              <w:rPr>
                <w:rFonts w:hint="eastAsia"/>
                <w:sz w:val="24"/>
                <w:lang w:val="en-US" w:eastAsia="zh-CN"/>
              </w:rPr>
              <w:t>4</w:t>
            </w:r>
            <w:r>
              <w:rPr>
                <w:rFonts w:hint="eastAsia"/>
                <w:sz w:val="24"/>
              </w:rPr>
              <w:t>.</w:t>
            </w:r>
            <w:r>
              <w:rPr>
                <w:rFonts w:hint="eastAsia"/>
                <w:sz w:val="24"/>
                <w:lang w:val="en-US" w:eastAsia="zh-CN"/>
              </w:rPr>
              <w:t>6</w:t>
            </w:r>
            <w:r>
              <w:rPr>
                <w:rFonts w:hint="eastAsia"/>
                <w:sz w:val="24"/>
              </w:rPr>
              <w:t>.</w:t>
            </w:r>
            <w:r>
              <w:rPr>
                <w:rFonts w:hint="eastAsia"/>
                <w:sz w:val="24"/>
                <w:lang w:val="en-US" w:eastAsia="zh-CN"/>
              </w:rPr>
              <w:t>28</w:t>
            </w:r>
          </w:p>
        </w:tc>
      </w:tr>
      <w:tr w14:paraId="3F19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73143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25FE7179">
            <w:pPr>
              <w:widowControl/>
              <w:spacing w:after="150"/>
              <w:jc w:val="center"/>
              <w:rPr>
                <w:rFonts w:hint="default" w:ascii="Times New Roman" w:hAnsi="Times New Roman" w:eastAsia="宋体"/>
                <w:color w:val="FF0000"/>
                <w:sz w:val="24"/>
                <w:lang w:val="en-US" w:eastAsia="zh-CN"/>
              </w:rPr>
            </w:pPr>
            <w:r>
              <w:rPr>
                <w:rFonts w:hint="eastAsia" w:ascii="宋体" w:hAnsi="宋体" w:eastAsia="宋体" w:cs="宋体"/>
                <w:color w:val="000000"/>
                <w:sz w:val="24"/>
                <w:szCs w:val="24"/>
              </w:rPr>
              <w:t>徐顺星</w:t>
            </w:r>
            <w:r>
              <w:rPr>
                <w:rFonts w:hint="eastAsia"/>
                <w:color w:val="000000"/>
                <w:sz w:val="24"/>
              </w:rPr>
              <w:t>、</w:t>
            </w:r>
            <w:r>
              <w:rPr>
                <w:rFonts w:hint="eastAsia" w:ascii="宋体" w:hAnsi="宋体" w:eastAsia="宋体" w:cs="宋体"/>
                <w:color w:val="000000"/>
                <w:sz w:val="24"/>
                <w:szCs w:val="24"/>
                <w:lang w:val="en-US" w:eastAsia="zh-CN"/>
              </w:rPr>
              <w:t>吴红玉</w:t>
            </w:r>
            <w:r>
              <w:rPr>
                <w:rFonts w:hint="eastAsia"/>
                <w:sz w:val="24"/>
              </w:rPr>
              <w:t>202</w:t>
            </w:r>
            <w:r>
              <w:rPr>
                <w:rFonts w:hint="eastAsia"/>
                <w:sz w:val="24"/>
                <w:lang w:val="en-US" w:eastAsia="zh-CN"/>
              </w:rPr>
              <w:t>5</w:t>
            </w:r>
            <w:r>
              <w:rPr>
                <w:rFonts w:hint="eastAsia"/>
                <w:sz w:val="24"/>
              </w:rPr>
              <w:t>.</w:t>
            </w:r>
            <w:r>
              <w:rPr>
                <w:rFonts w:hint="eastAsia"/>
                <w:sz w:val="24"/>
                <w:lang w:val="en-US" w:eastAsia="zh-CN"/>
              </w:rPr>
              <w:t>3</w:t>
            </w:r>
            <w:r>
              <w:rPr>
                <w:rFonts w:hint="eastAsia"/>
                <w:sz w:val="24"/>
              </w:rPr>
              <w:t>.</w:t>
            </w:r>
            <w:r>
              <w:rPr>
                <w:rFonts w:hint="eastAsia"/>
                <w:sz w:val="24"/>
                <w:lang w:val="en-US" w:eastAsia="zh-CN"/>
              </w:rPr>
              <w:t>20</w:t>
            </w:r>
          </w:p>
        </w:tc>
      </w:tr>
      <w:tr w14:paraId="6799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02373A96">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5FFBB3E2">
            <w:pPr>
              <w:rPr>
                <w:rFonts w:hint="eastAsia"/>
                <w:snapToGrid w:val="0"/>
              </w:rPr>
            </w:pPr>
            <w:r>
              <w:rPr>
                <w:rFonts w:hint="eastAsia"/>
                <w:snapToGrid w:val="0"/>
              </w:rPr>
              <w:t>江西久泰实业有限公司成立于2017年11月14日，公司类型为有限责任公司（自然人投资或控股），是一家甲基丙烯酸甲酯生产销售企业，法定代表人为黄荣荣，注册资本壹仟万元整。该公司住所位于江西省宜春市宜丰县良岗工业园长新大道。公司经营范围：化工产品生产、销售(危险化学品除外)，产业用纺织制成品生产、销售。（依法须经批准的项目，经相关部门批准后方可开展经营活动）</w:t>
            </w:r>
          </w:p>
          <w:p w14:paraId="55E7B7CB">
            <w:pPr>
              <w:rPr>
                <w:rFonts w:hint="eastAsia"/>
              </w:rPr>
            </w:pPr>
            <w:r>
              <w:rPr>
                <w:rFonts w:hint="eastAsia"/>
                <w:snapToGrid w:val="0"/>
              </w:rPr>
              <w:t>该公司于2017年9月5日取得了宜丰县发展和改革委员会印发的《关于江西久泰实业有限公司年产6000吨甲基丙烯酸甲酯建设项目予以备案的通知》宜发改产业字[2017]45号。委托内蒙古吉安劳动安全评价有限责任公司编制了《江西久泰实业有限公司年产6000吨甲基丙烯酸甲酯建设项目安全条件评价报告》，并取得由原宜春市安全生产监督管理局颁发的《危险化学品建设项目安全条件审查意见书》（宜市危化项目安条审字〔2019]5号）；委托沈阳石油化工设计院有限公司编制了《江西久泰实业有限公司年产6000吨甲基丙烯酸甲酯建设项目安全设施设计》，并取得由原宜春市安全生产监督管理局颁发的《危险化学品建设项目安全设施设计审查意见书》（宜市危化项目安设审字(2020)16号），并于2021年4月进行了设计变更说明；该项目分期建设，项目一期建设完成后委托南昌安达安全技术咨询有限公司编制了《江西久泰实业有限公司年产 6000 吨甲基丙烯酸甲酯建设项目（一期）安全设施竣工验收评价报告》，完成了安全设施竣工验收。并于2021年首次取得江西省应急厅颁发的《安全生产许可证》，编号：（赣）WH安许证字[2021]1137号，许可范围：甲基丙烯酸甲酯(3kt/a)，现有效期从2021年10月27日至2024年10月26日。</w:t>
            </w:r>
          </w:p>
        </w:tc>
      </w:tr>
      <w:tr w14:paraId="7BB0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0C26B5DC">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75627239">
            <w:pPr>
              <w:tabs>
                <w:tab w:val="left" w:pos="6100"/>
              </w:tabs>
              <w:rPr>
                <w:rFonts w:hint="eastAsia" w:ascii="宋体" w:hAnsi="宋体" w:cs="宋体"/>
                <w:color w:val="auto"/>
                <w:sz w:val="21"/>
                <w:szCs w:val="21"/>
              </w:rPr>
            </w:pPr>
            <w:r>
              <w:rPr>
                <w:rFonts w:hint="eastAsia" w:ascii="宋体" w:hAnsi="宋体" w:cs="宋体"/>
                <w:color w:val="auto"/>
                <w:sz w:val="21"/>
                <w:szCs w:val="21"/>
              </w:rPr>
              <w:t>1、工艺流程简述</w:t>
            </w:r>
          </w:p>
          <w:p w14:paraId="0FEEF729">
            <w:pPr>
              <w:pStyle w:val="16"/>
              <w:spacing w:before="0" w:beforeAutospacing="0" w:after="0" w:afterAutospacing="0"/>
              <w:rPr>
                <w:bCs/>
                <w:color w:val="auto"/>
                <w:sz w:val="21"/>
                <w:szCs w:val="21"/>
              </w:rPr>
            </w:pPr>
            <w:r>
              <w:rPr>
                <w:rFonts w:hint="eastAsia"/>
                <w:bCs/>
                <w:color w:val="auto"/>
                <w:sz w:val="21"/>
                <w:szCs w:val="21"/>
              </w:rPr>
              <w:t>（1）熔化裂解</w:t>
            </w:r>
          </w:p>
          <w:p w14:paraId="46DE8F89">
            <w:pPr>
              <w:pStyle w:val="16"/>
              <w:spacing w:before="0" w:beforeAutospacing="0" w:after="0" w:afterAutospacing="0"/>
              <w:rPr>
                <w:rFonts w:hint="eastAsia"/>
                <w:bCs/>
                <w:color w:val="auto"/>
                <w:sz w:val="21"/>
                <w:szCs w:val="21"/>
              </w:rPr>
            </w:pPr>
            <w:r>
              <w:rPr>
                <w:rFonts w:hint="eastAsia"/>
                <w:bCs/>
                <w:color w:val="auto"/>
                <w:sz w:val="21"/>
                <w:szCs w:val="21"/>
              </w:rPr>
              <w:t>用行车将外购的亚克力固体颗粒(市场上有破碎成不同规格的亚克力固体颗粒，无须使用粘合剂等其他附加物质。颗粒大的固体需在粉碎机中粉碎。)和回用的裁切边角料放入在氮气保护的裂解炉里加热熔解、干馏、汽化，并逐渐加热。常压条件下，定量投入压克力固体颗粒，密封投料口，通入氮气置换出裂解炉内空气，然后采用电炉丝加热裂解炉，裂解出口气温度为 270~380℃，并自带有温度联锁功能，当裂解出口气温度达到380℃时联锁关闭电加热系统。</w:t>
            </w:r>
          </w:p>
          <w:p w14:paraId="47F671FB">
            <w:pPr>
              <w:pStyle w:val="16"/>
              <w:spacing w:before="0" w:beforeAutospacing="0" w:after="0" w:afterAutospacing="0"/>
              <w:rPr>
                <w:rFonts w:hint="eastAsia"/>
                <w:bCs/>
                <w:color w:val="auto"/>
                <w:sz w:val="21"/>
                <w:szCs w:val="21"/>
              </w:rPr>
            </w:pPr>
            <w:r>
              <w:rPr>
                <w:rFonts w:hint="eastAsia"/>
                <w:bCs/>
                <w:color w:val="auto"/>
                <w:sz w:val="21"/>
                <w:szCs w:val="21"/>
              </w:rPr>
              <w:t>裂解炉的电加热系统电炉丝温度为现场显示仪表，在电控柜上显示，该温度为设定值。裂解炉出口气设置带远传温度计，具有现场显示、报警和记录功能，信号接入401办公楼控制室的PLC可编程控制器，在现场温度计和控制室均有显示和报警，并具有30天记录功能，当裂解出口气温度达到380℃时连锁关闭电加热控制柜，停止电炉丝加热。</w:t>
            </w:r>
          </w:p>
          <w:p w14:paraId="03CFA706">
            <w:pPr>
              <w:pStyle w:val="16"/>
              <w:spacing w:before="0" w:beforeAutospacing="0" w:after="0" w:afterAutospacing="0"/>
              <w:rPr>
                <w:rFonts w:hint="eastAsia"/>
                <w:bCs/>
                <w:color w:val="auto"/>
                <w:sz w:val="21"/>
                <w:szCs w:val="21"/>
              </w:rPr>
            </w:pPr>
            <w:r>
              <w:rPr>
                <w:rFonts w:hint="eastAsia"/>
                <w:bCs/>
                <w:color w:val="auto"/>
                <w:sz w:val="21"/>
                <w:szCs w:val="21"/>
              </w:rPr>
              <w:t>采用防爆电控加热装置加热，无明火产生，因此，其对裂解炉中甲类物质影响较小；热量充分利用，加热器外部采用耐高温石棉(耐温1000℃)包裹。熔化裂解产生的裂解残渣定期清理，约每月2~3次，委托具有危险固废处置的单位进行处理。</w:t>
            </w:r>
          </w:p>
          <w:p w14:paraId="6E430988">
            <w:pPr>
              <w:pStyle w:val="16"/>
              <w:spacing w:before="0" w:beforeAutospacing="0" w:after="0" w:afterAutospacing="0"/>
              <w:rPr>
                <w:rFonts w:hint="eastAsia"/>
                <w:bCs/>
                <w:color w:val="auto"/>
                <w:sz w:val="21"/>
                <w:szCs w:val="21"/>
              </w:rPr>
            </w:pPr>
            <w:r>
              <w:rPr>
                <w:rFonts w:hint="eastAsia"/>
                <w:bCs/>
                <w:color w:val="auto"/>
                <w:sz w:val="21"/>
                <w:szCs w:val="21"/>
              </w:rPr>
              <w:t>（2）冷凝</w:t>
            </w:r>
          </w:p>
          <w:p w14:paraId="09C7421A">
            <w:pPr>
              <w:pStyle w:val="16"/>
              <w:spacing w:before="0" w:beforeAutospacing="0" w:after="0" w:afterAutospacing="0"/>
              <w:rPr>
                <w:rFonts w:hint="eastAsia"/>
                <w:bCs/>
                <w:color w:val="auto"/>
                <w:sz w:val="21"/>
                <w:szCs w:val="21"/>
              </w:rPr>
            </w:pPr>
            <w:r>
              <w:rPr>
                <w:rFonts w:hint="eastAsia"/>
                <w:bCs/>
                <w:color w:val="auto"/>
                <w:sz w:val="21"/>
                <w:szCs w:val="21"/>
              </w:rPr>
              <w:t>打开真空泵，启动冷凝器和回流阀，亚克力固体颗粒和边角料溶解、汽化形成的挥发性气体从裂解炉顶部的出气口依次经过安装在裂解炉上面的冷凝器经 32℃冷却水冷却。回收裂解单体产物，冷凝成黄色液体(粗单体，温度为 40~45℃，主要含有甲醇、MMA、MA、MAA)，储存于单体接收罐内，最终集中收集到粗单体 MMA 储罐。</w:t>
            </w:r>
          </w:p>
          <w:p w14:paraId="26F531FB">
            <w:pPr>
              <w:pStyle w:val="16"/>
              <w:spacing w:before="0" w:beforeAutospacing="0" w:after="0" w:afterAutospacing="0"/>
              <w:rPr>
                <w:rFonts w:hint="eastAsia"/>
                <w:bCs/>
                <w:color w:val="auto"/>
                <w:sz w:val="21"/>
                <w:szCs w:val="21"/>
              </w:rPr>
            </w:pPr>
            <w:r>
              <w:rPr>
                <w:rFonts w:hint="eastAsia"/>
                <w:bCs/>
                <w:color w:val="auto"/>
                <w:sz w:val="21"/>
                <w:szCs w:val="21"/>
              </w:rPr>
              <w:t>（3）精馏</w:t>
            </w:r>
          </w:p>
          <w:p w14:paraId="12D1D1BF">
            <w:pPr>
              <w:pStyle w:val="16"/>
              <w:spacing w:before="0" w:beforeAutospacing="0" w:after="0" w:afterAutospacing="0"/>
              <w:rPr>
                <w:rFonts w:ascii="宋体" w:hAnsi="宋体" w:cs="宋体"/>
                <w:snapToGrid w:val="0"/>
                <w:kern w:val="0"/>
                <w:szCs w:val="21"/>
              </w:rPr>
            </w:pPr>
            <w:r>
              <w:rPr>
                <w:rFonts w:hint="eastAsia"/>
                <w:bCs/>
                <w:color w:val="auto"/>
                <w:sz w:val="21"/>
                <w:szCs w:val="21"/>
              </w:rPr>
              <w:t>冷凝后的粗单体MMA用泵打入精馏塔内，通入蒸汽进行精馏6小时，精馏温度为 60℃~80℃三个阶段，各阶段下的温度对应的精馏压力分别为真空度400Pa、真空度400~600Pa 和真空度700Pa~900Pa(使用罗茨真空泵),每个阶段对应的真空度依次分别为MA和单体 MMA的分馏，按工况打开接收罐阀门，接收物料。先精馏出的MA 经过冷凝后用接收罐接收，与最后的残液一并送储罐进行储存。最后精馏MMA单体时，使得液体形成的高温精馏气体经过精馏釜上方的过滤塔和循环水冷却系统反复循环冷却，得到无色透明单体 MMA，直到检测器显示达到产品纯度规格后，将合格的产品真空泵打入精单体MMA储罐内。精馏残液用真空泵打入精馏残液罐内，作为废弃物送有资质的单位处置或综合利用。</w:t>
            </w:r>
          </w:p>
        </w:tc>
      </w:tr>
      <w:tr w14:paraId="00B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1C049D4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B514EA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37F63244">
      <w:r>
        <w:rPr>
          <w:rFonts w:hint="eastAsia"/>
        </w:rPr>
        <w:br w:type="page"/>
      </w:r>
    </w:p>
    <w:p w14:paraId="5E07ABB9">
      <w:pPr>
        <w:rPr>
          <w:rFonts w:hint="eastAsia" w:eastAsia="宋体"/>
          <w:lang w:eastAsia="zh-CN"/>
        </w:rPr>
      </w:pPr>
    </w:p>
    <w:p w14:paraId="0E5298BF"/>
    <w:p w14:paraId="4223652F"/>
    <w:p w14:paraId="2A512B2C"/>
    <w:p w14:paraId="550F72D5">
      <w:pPr>
        <w:rPr>
          <w:rFonts w:hint="eastAsia" w:eastAsia="宋体"/>
          <w:lang w:eastAsia="zh-CN"/>
        </w:rPr>
      </w:pPr>
      <w:r>
        <w:rPr>
          <w:rFonts w:hint="eastAsia" w:eastAsia="宋体"/>
          <w:lang w:eastAsia="zh-CN"/>
        </w:rPr>
        <w:drawing>
          <wp:inline distT="0" distB="0" distL="114300" distR="114300">
            <wp:extent cx="5262880" cy="7019925"/>
            <wp:effectExtent l="0" t="0" r="13970" b="9525"/>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4"/>
                    <a:stretch>
                      <a:fillRect/>
                    </a:stretch>
                  </pic:blipFill>
                  <pic:spPr>
                    <a:xfrm>
                      <a:off x="0" y="0"/>
                      <a:ext cx="5262880" cy="7019925"/>
                    </a:xfrm>
                    <a:prstGeom prst="rect">
                      <a:avLst/>
                    </a:prstGeom>
                  </pic:spPr>
                </pic:pic>
              </a:graphicData>
            </a:graphic>
          </wp:inline>
        </w:drawing>
      </w:r>
      <w:r>
        <w:rPr>
          <w:rFonts w:hint="eastAsia" w:eastAsia="宋体"/>
          <w:lang w:eastAsia="zh-CN"/>
        </w:rPr>
        <w:drawing>
          <wp:inline distT="0" distB="0" distL="114300" distR="114300">
            <wp:extent cx="5262880" cy="7019925"/>
            <wp:effectExtent l="0" t="0" r="13970" b="9525"/>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5"/>
                    <a:stretch>
                      <a:fillRect/>
                    </a:stretch>
                  </pic:blipFill>
                  <pic:spPr>
                    <a:xfrm>
                      <a:off x="0" y="0"/>
                      <a:ext cx="5262880" cy="7019925"/>
                    </a:xfrm>
                    <a:prstGeom prst="rect">
                      <a:avLst/>
                    </a:prstGeom>
                  </pic:spPr>
                </pic:pic>
              </a:graphicData>
            </a:graphic>
          </wp:inline>
        </w:drawing>
      </w:r>
    </w:p>
    <w:p w14:paraId="44D6F4B2"/>
    <w:p w14:paraId="7D6C13BF"/>
    <w:p w14:paraId="22AF1EED"/>
    <w:p w14:paraId="3601A34F"/>
    <w:p w14:paraId="795F8353"/>
    <w:p w14:paraId="6004ECD9"/>
    <w:p w14:paraId="4521D7C1"/>
    <w:p w14:paraId="1FF13339">
      <w:pPr>
        <w:jc w:val="both"/>
      </w:pPr>
    </w:p>
    <w:p w14:paraId="32057267">
      <w:pPr>
        <w:jc w:val="both"/>
        <w:rPr>
          <w:rFonts w:hint="eastAsia" w:eastAsia="宋体"/>
          <w:lang w:eastAsia="zh-CN"/>
        </w:rPr>
      </w:pPr>
      <w:r>
        <w:rPr>
          <w:rFonts w:hint="eastAsia" w:eastAsia="宋体"/>
          <w:lang w:eastAsia="zh-CN"/>
        </w:rPr>
        <w:drawing>
          <wp:inline distT="0" distB="0" distL="114300" distR="114300">
            <wp:extent cx="5274310" cy="7464425"/>
            <wp:effectExtent l="0" t="0" r="2540" b="3175"/>
            <wp:docPr id="16" name="图片 16" descr="DOC102225-1022202522293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OC102225-10222025222936_01"/>
                    <pic:cNvPicPr>
                      <a:picLocks noChangeAspect="1"/>
                    </pic:cNvPicPr>
                  </pic:nvPicPr>
                  <pic:blipFill>
                    <a:blip r:embed="rId6"/>
                    <a:stretch>
                      <a:fillRect/>
                    </a:stretch>
                  </pic:blipFill>
                  <pic:spPr>
                    <a:xfrm>
                      <a:off x="0" y="0"/>
                      <a:ext cx="5274310" cy="7464425"/>
                    </a:xfrm>
                    <a:prstGeom prst="rect">
                      <a:avLst/>
                    </a:prstGeom>
                  </pic:spPr>
                </pic:pic>
              </a:graphicData>
            </a:graphic>
          </wp:inline>
        </w:drawing>
      </w:r>
      <w:r>
        <w:rPr>
          <w:rFonts w:hint="eastAsia" w:eastAsia="宋体"/>
          <w:lang w:eastAsia="zh-CN"/>
        </w:rPr>
        <w:drawing>
          <wp:inline distT="0" distB="0" distL="114300" distR="114300">
            <wp:extent cx="5274310" cy="7464425"/>
            <wp:effectExtent l="0" t="0" r="2540" b="3175"/>
            <wp:docPr id="15" name="图片 15" descr="DOC102225-10222025222936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OC102225-10222025222936_02"/>
                    <pic:cNvPicPr>
                      <a:picLocks noChangeAspect="1"/>
                    </pic:cNvPicPr>
                  </pic:nvPicPr>
                  <pic:blipFill>
                    <a:blip r:embed="rId7"/>
                    <a:stretch>
                      <a:fillRect/>
                    </a:stretch>
                  </pic:blipFill>
                  <pic:spPr>
                    <a:xfrm>
                      <a:off x="0" y="0"/>
                      <a:ext cx="5274310" cy="7464425"/>
                    </a:xfrm>
                    <a:prstGeom prst="rect">
                      <a:avLst/>
                    </a:prstGeom>
                  </pic:spPr>
                </pic:pic>
              </a:graphicData>
            </a:graphic>
          </wp:inline>
        </w:drawing>
      </w:r>
      <w:r>
        <w:rPr>
          <w:rFonts w:hint="eastAsia" w:eastAsia="宋体"/>
          <w:lang w:eastAsia="zh-CN"/>
        </w:rPr>
        <w:drawing>
          <wp:inline distT="0" distB="0" distL="114300" distR="114300">
            <wp:extent cx="5274310" cy="7464425"/>
            <wp:effectExtent l="0" t="0" r="2540" b="3175"/>
            <wp:docPr id="14" name="图片 14" descr="DOC102225-10222025222936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OC102225-10222025222936_03"/>
                    <pic:cNvPicPr>
                      <a:picLocks noChangeAspect="1"/>
                    </pic:cNvPicPr>
                  </pic:nvPicPr>
                  <pic:blipFill>
                    <a:blip r:embed="rId8"/>
                    <a:stretch>
                      <a:fillRect/>
                    </a:stretch>
                  </pic:blipFill>
                  <pic:spPr>
                    <a:xfrm>
                      <a:off x="0" y="0"/>
                      <a:ext cx="5274310" cy="7464425"/>
                    </a:xfrm>
                    <a:prstGeom prst="rect">
                      <a:avLst/>
                    </a:prstGeom>
                  </pic:spPr>
                </pic:pic>
              </a:graphicData>
            </a:graphic>
          </wp:inline>
        </w:drawing>
      </w:r>
    </w:p>
    <w:p w14:paraId="71131254">
      <w:pPr>
        <w:jc w:val="both"/>
      </w:pPr>
    </w:p>
    <w:p w14:paraId="50678230">
      <w:pPr>
        <w:jc w:val="both"/>
      </w:pPr>
    </w:p>
    <w:p w14:paraId="00CEC2E3">
      <w:pPr>
        <w:jc w:val="both"/>
      </w:pPr>
    </w:p>
    <w:p w14:paraId="1DD3FCE3">
      <w:pPr>
        <w:jc w:val="both"/>
      </w:pPr>
    </w:p>
    <w:p w14:paraId="2B59A32B">
      <w:pPr>
        <w:jc w:val="both"/>
      </w:pPr>
    </w:p>
    <w:p w14:paraId="256DE4E7">
      <w:pPr>
        <w:jc w:val="both"/>
      </w:pPr>
    </w:p>
    <w:p w14:paraId="5A2C25E3">
      <w:pPr>
        <w:jc w:val="both"/>
      </w:pPr>
    </w:p>
    <w:p w14:paraId="533D82FB">
      <w:pPr>
        <w:jc w:val="both"/>
      </w:pPr>
    </w:p>
    <w:p w14:paraId="3E01CFF2">
      <w:pPr>
        <w:jc w:val="both"/>
        <w:rPr>
          <w:rFonts w:hint="eastAsia" w:eastAsia="宋体"/>
          <w:lang w:eastAsia="zh-CN"/>
        </w:rPr>
      </w:pPr>
      <w:r>
        <w:drawing>
          <wp:inline distT="0" distB="0" distL="114300" distR="114300">
            <wp:extent cx="5269865" cy="7429500"/>
            <wp:effectExtent l="0" t="0" r="6985"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9"/>
                    <a:stretch>
                      <a:fillRect/>
                    </a:stretch>
                  </pic:blipFill>
                  <pic:spPr>
                    <a:xfrm>
                      <a:off x="0" y="0"/>
                      <a:ext cx="5269865" cy="7429500"/>
                    </a:xfrm>
                    <a:prstGeom prst="rect">
                      <a:avLst/>
                    </a:prstGeom>
                    <a:noFill/>
                    <a:ln>
                      <a:noFill/>
                    </a:ln>
                  </pic:spPr>
                </pic:pic>
              </a:graphicData>
            </a:graphic>
          </wp:inline>
        </w:drawing>
      </w:r>
    </w:p>
    <w:p w14:paraId="3CC18563">
      <w:pPr>
        <w:rPr>
          <w:rFonts w:hint="eastAsia" w:eastAsia="宋体"/>
          <w:lang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BF33AE"/>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D0227BA"/>
    <w:rsid w:val="0D073DB5"/>
    <w:rsid w:val="0D081033"/>
    <w:rsid w:val="0D1C170F"/>
    <w:rsid w:val="0D4252AC"/>
    <w:rsid w:val="0E564C35"/>
    <w:rsid w:val="0EC817E1"/>
    <w:rsid w:val="0F1C6141"/>
    <w:rsid w:val="0F423341"/>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B63147C"/>
    <w:rsid w:val="1C3244B8"/>
    <w:rsid w:val="1C461987"/>
    <w:rsid w:val="1C4B6410"/>
    <w:rsid w:val="1C67088B"/>
    <w:rsid w:val="1C970306"/>
    <w:rsid w:val="1CD13F56"/>
    <w:rsid w:val="1CD14F1F"/>
    <w:rsid w:val="1CEA3399"/>
    <w:rsid w:val="1DA60EEB"/>
    <w:rsid w:val="1F0F5E71"/>
    <w:rsid w:val="1F142A61"/>
    <w:rsid w:val="1F373426"/>
    <w:rsid w:val="1F642D26"/>
    <w:rsid w:val="1FAC2BD1"/>
    <w:rsid w:val="1FF45CE7"/>
    <w:rsid w:val="20176124"/>
    <w:rsid w:val="201F0282"/>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317C88"/>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ED3F48"/>
    <w:rsid w:val="2CF2686E"/>
    <w:rsid w:val="2E9E272A"/>
    <w:rsid w:val="2EAE6403"/>
    <w:rsid w:val="2F5C124E"/>
    <w:rsid w:val="31055C5A"/>
    <w:rsid w:val="3256187C"/>
    <w:rsid w:val="3259568C"/>
    <w:rsid w:val="32A31CA7"/>
    <w:rsid w:val="32A66941"/>
    <w:rsid w:val="334B2415"/>
    <w:rsid w:val="339918AA"/>
    <w:rsid w:val="33BD2F62"/>
    <w:rsid w:val="33C148CD"/>
    <w:rsid w:val="33E01751"/>
    <w:rsid w:val="341F407D"/>
    <w:rsid w:val="34BD4A82"/>
    <w:rsid w:val="351530F3"/>
    <w:rsid w:val="35211925"/>
    <w:rsid w:val="35524794"/>
    <w:rsid w:val="36577381"/>
    <w:rsid w:val="366115C7"/>
    <w:rsid w:val="368F242B"/>
    <w:rsid w:val="36E75766"/>
    <w:rsid w:val="37285AB1"/>
    <w:rsid w:val="375C6F30"/>
    <w:rsid w:val="3781684D"/>
    <w:rsid w:val="38213B8C"/>
    <w:rsid w:val="3823766B"/>
    <w:rsid w:val="396748BA"/>
    <w:rsid w:val="39AC13AD"/>
    <w:rsid w:val="3A751F6D"/>
    <w:rsid w:val="3AB6680E"/>
    <w:rsid w:val="3AD61658"/>
    <w:rsid w:val="3ADD7367"/>
    <w:rsid w:val="3AF50232"/>
    <w:rsid w:val="3B251FB8"/>
    <w:rsid w:val="3B3712DA"/>
    <w:rsid w:val="3B516ED3"/>
    <w:rsid w:val="3B622014"/>
    <w:rsid w:val="3BB54D17"/>
    <w:rsid w:val="3BFC6477"/>
    <w:rsid w:val="3C7D28D5"/>
    <w:rsid w:val="3C9506A5"/>
    <w:rsid w:val="3CE43836"/>
    <w:rsid w:val="3D027FC2"/>
    <w:rsid w:val="3D3D4FC4"/>
    <w:rsid w:val="3D4729D1"/>
    <w:rsid w:val="3D6C58AA"/>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657908"/>
    <w:rsid w:val="4ACC5BD9"/>
    <w:rsid w:val="4BE40D01"/>
    <w:rsid w:val="4CDE060B"/>
    <w:rsid w:val="4E2E60EA"/>
    <w:rsid w:val="4E3D5914"/>
    <w:rsid w:val="4E461B89"/>
    <w:rsid w:val="4E834801"/>
    <w:rsid w:val="4F4C1097"/>
    <w:rsid w:val="4F844CD5"/>
    <w:rsid w:val="4FB01626"/>
    <w:rsid w:val="4FF32FA8"/>
    <w:rsid w:val="50EA0B03"/>
    <w:rsid w:val="512A57AB"/>
    <w:rsid w:val="515A3854"/>
    <w:rsid w:val="5276471A"/>
    <w:rsid w:val="52B20F97"/>
    <w:rsid w:val="52CC47C0"/>
    <w:rsid w:val="52E07D49"/>
    <w:rsid w:val="5374510A"/>
    <w:rsid w:val="53F5005F"/>
    <w:rsid w:val="550C37A2"/>
    <w:rsid w:val="55990DAE"/>
    <w:rsid w:val="563D2137"/>
    <w:rsid w:val="565D015E"/>
    <w:rsid w:val="56836AB2"/>
    <w:rsid w:val="56BC2DE3"/>
    <w:rsid w:val="56D42C4D"/>
    <w:rsid w:val="56EF512A"/>
    <w:rsid w:val="57301D47"/>
    <w:rsid w:val="57487036"/>
    <w:rsid w:val="575D6537"/>
    <w:rsid w:val="57800B40"/>
    <w:rsid w:val="57CD2DFE"/>
    <w:rsid w:val="58244FE5"/>
    <w:rsid w:val="584B13F6"/>
    <w:rsid w:val="59217B49"/>
    <w:rsid w:val="59656964"/>
    <w:rsid w:val="59D926D2"/>
    <w:rsid w:val="5A034680"/>
    <w:rsid w:val="5A096502"/>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9E5C56"/>
    <w:rsid w:val="62A05F08"/>
    <w:rsid w:val="62EA5BC6"/>
    <w:rsid w:val="630737FB"/>
    <w:rsid w:val="63C25DAA"/>
    <w:rsid w:val="64126CC6"/>
    <w:rsid w:val="64721148"/>
    <w:rsid w:val="648F0582"/>
    <w:rsid w:val="64F540D9"/>
    <w:rsid w:val="6559245A"/>
    <w:rsid w:val="65622F6B"/>
    <w:rsid w:val="658C415A"/>
    <w:rsid w:val="65BD6D5B"/>
    <w:rsid w:val="66C53C4A"/>
    <w:rsid w:val="673B297E"/>
    <w:rsid w:val="678F323C"/>
    <w:rsid w:val="67F105D6"/>
    <w:rsid w:val="67FD6F7B"/>
    <w:rsid w:val="68233EA0"/>
    <w:rsid w:val="68A30209"/>
    <w:rsid w:val="68C86C57"/>
    <w:rsid w:val="69C2222A"/>
    <w:rsid w:val="6AA57F27"/>
    <w:rsid w:val="6B3B1735"/>
    <w:rsid w:val="6CC37EB5"/>
    <w:rsid w:val="6D1139EB"/>
    <w:rsid w:val="6D3457FF"/>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397B"/>
    <w:rsid w:val="72600B3B"/>
    <w:rsid w:val="729E3A33"/>
    <w:rsid w:val="72C43B37"/>
    <w:rsid w:val="73670AB5"/>
    <w:rsid w:val="737D1DEA"/>
    <w:rsid w:val="748B2EA1"/>
    <w:rsid w:val="74AE0F56"/>
    <w:rsid w:val="755328D0"/>
    <w:rsid w:val="76391AC6"/>
    <w:rsid w:val="7672193D"/>
    <w:rsid w:val="770403EE"/>
    <w:rsid w:val="771C50B0"/>
    <w:rsid w:val="771E190D"/>
    <w:rsid w:val="77832F9B"/>
    <w:rsid w:val="77C519A6"/>
    <w:rsid w:val="78063C29"/>
    <w:rsid w:val="784004D1"/>
    <w:rsid w:val="784D1858"/>
    <w:rsid w:val="78725E9B"/>
    <w:rsid w:val="78760DAF"/>
    <w:rsid w:val="7877129B"/>
    <w:rsid w:val="787B0173"/>
    <w:rsid w:val="79302291"/>
    <w:rsid w:val="797D7F1B"/>
    <w:rsid w:val="79F44E86"/>
    <w:rsid w:val="79FE7AE0"/>
    <w:rsid w:val="7A083C89"/>
    <w:rsid w:val="7AA15E8B"/>
    <w:rsid w:val="7B1A51D8"/>
    <w:rsid w:val="7B424553"/>
    <w:rsid w:val="7BB96559"/>
    <w:rsid w:val="7BF25D18"/>
    <w:rsid w:val="7C304A31"/>
    <w:rsid w:val="7C6520EB"/>
    <w:rsid w:val="7C85225C"/>
    <w:rsid w:val="7CE56503"/>
    <w:rsid w:val="7D1943FF"/>
    <w:rsid w:val="7D7347EF"/>
    <w:rsid w:val="7D9B14E2"/>
    <w:rsid w:val="7DB761A8"/>
    <w:rsid w:val="7DD52B5A"/>
    <w:rsid w:val="7E522673"/>
    <w:rsid w:val="7E81400A"/>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6">
    <w:name w:val="heading 2"/>
    <w:basedOn w:val="7"/>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7">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8">
    <w:name w:val="heading 4"/>
    <w:basedOn w:val="1"/>
    <w:next w:val="1"/>
    <w:unhideWhenUsed/>
    <w:qFormat/>
    <w:uiPriority w:val="0"/>
    <w:pPr>
      <w:keepNext/>
      <w:keepLines/>
      <w:outlineLvl w:val="3"/>
    </w:pPr>
    <w:rPr>
      <w:b/>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unhideWhenUsed/>
    <w:qFormat/>
    <w:uiPriority w:val="99"/>
    <w:pPr>
      <w:ind w:firstLine="420" w:firstLineChars="200"/>
    </w:pPr>
  </w:style>
  <w:style w:type="paragraph" w:styleId="3">
    <w:name w:val="Body Text Indent"/>
    <w:basedOn w:val="1"/>
    <w:next w:val="2"/>
    <w:unhideWhenUsed/>
    <w:qFormat/>
    <w:uiPriority w:val="99"/>
    <w:pPr>
      <w:spacing w:after="120"/>
      <w:ind w:left="420" w:leftChars="200"/>
    </w:pPr>
  </w:style>
  <w:style w:type="paragraph" w:styleId="4">
    <w:name w:val="Body Text"/>
    <w:basedOn w:val="1"/>
    <w:next w:val="1"/>
    <w:qFormat/>
    <w:uiPriority w:val="99"/>
    <w:rPr>
      <w:sz w:val="28"/>
      <w:szCs w:val="28"/>
    </w:rPr>
  </w:style>
  <w:style w:type="paragraph" w:styleId="9">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10">
    <w:name w:val="toc 5"/>
    <w:basedOn w:val="1"/>
    <w:next w:val="1"/>
    <w:semiHidden/>
    <w:qFormat/>
    <w:uiPriority w:val="0"/>
    <w:pPr>
      <w:ind w:left="1120"/>
      <w:jc w:val="left"/>
    </w:pPr>
    <w:rPr>
      <w:sz w:val="18"/>
      <w:szCs w:val="18"/>
    </w:rPr>
  </w:style>
  <w:style w:type="paragraph" w:styleId="11">
    <w:name w:val="Plain Text"/>
    <w:basedOn w:val="1"/>
    <w:qFormat/>
    <w:uiPriority w:val="0"/>
    <w:rPr>
      <w:rFonts w:ascii="宋体" w:hAnsi="Courier New" w:cs="Courier New"/>
      <w:szCs w:val="21"/>
    </w:rPr>
  </w:style>
  <w:style w:type="paragraph" w:styleId="12">
    <w:name w:val="Date"/>
    <w:basedOn w:val="1"/>
    <w:next w:val="1"/>
    <w:link w:val="46"/>
    <w:qFormat/>
    <w:uiPriority w:val="0"/>
    <w:pPr>
      <w:ind w:left="100" w:leftChars="2500"/>
    </w:pPr>
    <w:rPr>
      <w:rFonts w:ascii="Times New Roman" w:hAnsi="Times New Roman"/>
      <w:b/>
      <w:bCs/>
      <w:sz w:val="28"/>
    </w:rPr>
  </w:style>
  <w:style w:type="paragraph" w:styleId="13">
    <w:name w:val="Body Text Indent 2"/>
    <w:basedOn w:val="1"/>
    <w:qFormat/>
    <w:uiPriority w:val="0"/>
    <w:pPr>
      <w:ind w:firstLine="538" w:firstLineChars="192"/>
    </w:pPr>
    <w:rPr>
      <w:rFonts w:ascii="宋体" w:hAnsi="宋体"/>
      <w:sz w:val="28"/>
    </w:rPr>
  </w:style>
  <w:style w:type="paragraph" w:styleId="14">
    <w:name w:val="Balloon Text"/>
    <w:basedOn w:val="1"/>
    <w:link w:val="32"/>
    <w:qFormat/>
    <w:uiPriority w:val="0"/>
    <w:rPr>
      <w:sz w:val="18"/>
      <w:szCs w:val="18"/>
    </w:rPr>
  </w:style>
  <w:style w:type="paragraph" w:styleId="15">
    <w:name w:val="footer"/>
    <w:basedOn w:val="1"/>
    <w:next w:val="16"/>
    <w:qFormat/>
    <w:uiPriority w:val="0"/>
    <w:pPr>
      <w:tabs>
        <w:tab w:val="center" w:pos="4153"/>
        <w:tab w:val="right" w:pos="8306"/>
      </w:tabs>
      <w:snapToGrid w:val="0"/>
    </w:pPr>
    <w:rPr>
      <w:sz w:val="18"/>
      <w:szCs w:val="18"/>
    </w:rPr>
  </w:style>
  <w:style w:type="paragraph" w:styleId="16">
    <w:name w:val="Normal (Web)"/>
    <w:basedOn w:val="1"/>
    <w:next w:val="17"/>
    <w:qFormat/>
    <w:uiPriority w:val="0"/>
    <w:pPr>
      <w:spacing w:before="100" w:beforeAutospacing="1" w:after="100" w:afterAutospacing="1"/>
      <w:jc w:val="left"/>
    </w:pPr>
    <w:rPr>
      <w:kern w:val="0"/>
      <w:sz w:val="24"/>
    </w:rPr>
  </w:style>
  <w:style w:type="paragraph" w:customStyle="1" w:styleId="17">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jc w:val="left"/>
    </w:pPr>
    <w:rPr>
      <w:rFonts w:ascii="宋体"/>
      <w:b/>
      <w:bCs/>
      <w:caps/>
      <w:sz w:val="20"/>
      <w:szCs w:val="20"/>
    </w:rPr>
  </w:style>
  <w:style w:type="paragraph" w:styleId="20">
    <w:name w:val="Body Text Indent 3"/>
    <w:basedOn w:val="1"/>
    <w:qFormat/>
    <w:uiPriority w:val="0"/>
    <w:pPr>
      <w:ind w:firstLine="630"/>
    </w:pPr>
    <w:rPr>
      <w:rFonts w:ascii="Times New Roman" w:hAnsi="Times New Roman" w:eastAsia="仿宋_GB2312"/>
      <w:sz w:val="28"/>
    </w:rPr>
  </w:style>
  <w:style w:type="paragraph" w:styleId="21">
    <w:name w:val="Body Text First Indent"/>
    <w:basedOn w:val="4"/>
    <w:next w:val="1"/>
    <w:qFormat/>
    <w:uiPriority w:val="0"/>
    <w:pPr>
      <w:spacing w:after="120"/>
      <w:ind w:firstLine="420" w:firstLineChars="100"/>
    </w:pPr>
  </w:style>
  <w:style w:type="paragraph" w:customStyle="1" w:styleId="24">
    <w:name w:val="正文2"/>
    <w:basedOn w:val="1"/>
    <w:qFormat/>
    <w:uiPriority w:val="0"/>
    <w:pPr>
      <w:spacing w:line="440" w:lineRule="atLeast"/>
      <w:ind w:firstLine="567"/>
    </w:pPr>
    <w:rPr>
      <w:sz w:val="24"/>
      <w:szCs w:val="20"/>
    </w:rPr>
  </w:style>
  <w:style w:type="paragraph" w:customStyle="1" w:styleId="25">
    <w:name w:val="样式 首行缩进:  2 字符"/>
    <w:basedOn w:val="1"/>
    <w:next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6"/>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3"/>
    <w:link w:val="14"/>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3"/>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3"/>
    <w:link w:val="12"/>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8</Pages>
  <Words>1712</Words>
  <Characters>1984</Characters>
  <Lines>8</Lines>
  <Paragraphs>2</Paragraphs>
  <TotalTime>0</TotalTime>
  <ScaleCrop>false</ScaleCrop>
  <LinksUpToDate>false</LinksUpToDate>
  <CharactersWithSpaces>1996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2025-10-23T02:29:43Z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3109AD86AA4F434D91D570105C61A9E9_13</vt:lpwstr>
  </property>
  <property fmtid="{D5CDD505-2E9C-101B-9397-08002B2CF9AE}" pid="4" name="KSOTemplateDocerSaveRecord">
    <vt:lpwstr>eyJoZGlkIjoiNDgzMjdiZTZhYWEwMDUyMzMwMzdhZWM2ZmNjMGMzMDkiLCJ1c2VySWQiOiI1NzcyNjAwMzgifQ==</vt:lpwstr>
  </property>
</Properties>
</file>