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88"/>
        <w:gridCol w:w="952"/>
        <w:gridCol w:w="5574"/>
        <w:gridCol w:w="2115"/>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41"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赣州市章贡区水东加油站经营（零售）成品油项目安全现状评价报告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41"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19日</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0B93473">
            <w:pPr>
              <w:jc w:val="center"/>
              <w:rPr>
                <w:rFonts w:ascii="宋体" w:hAnsi="宋体" w:cs="宋体"/>
                <w:sz w:val="24"/>
              </w:rPr>
            </w:pPr>
          </w:p>
        </w:tc>
        <w:tc>
          <w:tcPr>
            <w:tcW w:w="952"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4"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588"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952"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徐顺星</w:t>
            </w:r>
          </w:p>
        </w:tc>
        <w:tc>
          <w:tcPr>
            <w:tcW w:w="5574" w:type="dxa"/>
            <w:tcBorders>
              <w:tl2br w:val="nil"/>
              <w:tr2bl w:val="nil"/>
            </w:tcBorders>
            <w:shd w:val="clear" w:color="auto" w:fill="FFFFFF"/>
            <w:vAlign w:val="center"/>
          </w:tcPr>
          <w:p w14:paraId="74203271">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S011041000110192002229</w:t>
            </w:r>
          </w:p>
        </w:tc>
        <w:tc>
          <w:tcPr>
            <w:tcW w:w="2115" w:type="dxa"/>
            <w:tcBorders>
              <w:tl2br w:val="nil"/>
              <w:tr2bl w:val="nil"/>
            </w:tcBorders>
            <w:shd w:val="clear" w:color="auto" w:fill="FFFFFF"/>
            <w:vAlign w:val="center"/>
          </w:tcPr>
          <w:p w14:paraId="3EA9A323">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default"/>
                <w:sz w:val="24"/>
                <w:szCs w:val="24"/>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88"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952"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乔贯德</w:t>
            </w:r>
          </w:p>
        </w:tc>
        <w:tc>
          <w:tcPr>
            <w:tcW w:w="5574"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1700000000300087</w:t>
            </w:r>
          </w:p>
        </w:tc>
        <w:tc>
          <w:tcPr>
            <w:tcW w:w="2115"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952"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sz w:val="24"/>
                <w:szCs w:val="24"/>
                <w:lang w:val="en-US" w:eastAsia="zh-CN"/>
              </w:rPr>
              <w:t>舒斌</w:t>
            </w:r>
          </w:p>
        </w:tc>
        <w:tc>
          <w:tcPr>
            <w:tcW w:w="5574"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sz w:val="24"/>
                <w:szCs w:val="24"/>
                <w:lang w:val="en-US" w:eastAsia="zh-CN"/>
              </w:rPr>
              <w:t>0800000000205889</w:t>
            </w:r>
            <w:r>
              <w:rPr>
                <w:rFonts w:ascii="Calibri" w:hAnsi="Calibri"/>
                <w:sz w:val="24"/>
                <w:szCs w:val="24"/>
              </w:rPr>
              <w:t xml:space="preserve">  </w:t>
            </w:r>
          </w:p>
        </w:tc>
        <w:tc>
          <w:tcPr>
            <w:tcW w:w="2115"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sz w:val="24"/>
                <w:szCs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952"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赵云峰</w:t>
            </w:r>
          </w:p>
        </w:tc>
        <w:tc>
          <w:tcPr>
            <w:tcW w:w="5574"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S011037000110191000735</w:t>
            </w:r>
          </w:p>
        </w:tc>
        <w:tc>
          <w:tcPr>
            <w:tcW w:w="2115"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952"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ascii="Calibri" w:hAnsi="Calibri"/>
                <w:sz w:val="24"/>
                <w:szCs w:val="24"/>
                <w:lang w:val="en-US" w:eastAsia="zh-CN"/>
              </w:rPr>
              <w:t>张晋慧</w:t>
            </w:r>
          </w:p>
        </w:tc>
        <w:tc>
          <w:tcPr>
            <w:tcW w:w="5574"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w:t>
            </w:r>
            <w:r>
              <w:rPr>
                <w:rFonts w:hint="eastAsia" w:ascii="Calibri" w:hAnsi="Calibri"/>
                <w:sz w:val="24"/>
                <w:szCs w:val="24"/>
                <w:lang w:val="en-US" w:eastAsia="zh-CN"/>
              </w:rPr>
              <w:t>00000000302946</w:t>
            </w:r>
          </w:p>
        </w:tc>
        <w:tc>
          <w:tcPr>
            <w:tcW w:w="2115"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 xml:space="preserve"> </w:t>
            </w:r>
            <w:r>
              <w:rPr>
                <w:rFonts w:hint="eastAsia" w:ascii="Calibri" w:hAnsi="Calibri"/>
                <w:sz w:val="24"/>
                <w:szCs w:val="24"/>
                <w:lang w:val="en-US" w:eastAsia="zh-CN"/>
              </w:rPr>
              <w:t>020045</w:t>
            </w:r>
          </w:p>
        </w:tc>
      </w:tr>
      <w:tr w14:paraId="6D1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63B7C362">
            <w:pPr>
              <w:jc w:val="center"/>
              <w:rPr>
                <w:rFonts w:ascii="宋体" w:hAnsi="宋体" w:cs="宋体"/>
                <w:sz w:val="24"/>
              </w:rPr>
            </w:pPr>
          </w:p>
        </w:tc>
        <w:tc>
          <w:tcPr>
            <w:tcW w:w="952" w:type="dxa"/>
            <w:tcBorders>
              <w:tl2br w:val="nil"/>
              <w:tr2bl w:val="nil"/>
            </w:tcBorders>
            <w:shd w:val="clear" w:color="auto" w:fill="auto"/>
            <w:vAlign w:val="center"/>
          </w:tcPr>
          <w:p w14:paraId="2EB62A00">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eastAsia="宋体" w:cs="Times New Roman"/>
                <w:sz w:val="24"/>
                <w:szCs w:val="24"/>
                <w:lang w:val="en-US" w:eastAsia="zh-CN"/>
              </w:rPr>
              <w:t>蓝家财</w:t>
            </w:r>
          </w:p>
        </w:tc>
        <w:tc>
          <w:tcPr>
            <w:tcW w:w="5574" w:type="dxa"/>
            <w:tcBorders>
              <w:tl2br w:val="nil"/>
              <w:tr2bl w:val="nil"/>
            </w:tcBorders>
            <w:shd w:val="clear" w:color="auto" w:fill="FFFFFF"/>
            <w:vAlign w:val="center"/>
          </w:tcPr>
          <w:p w14:paraId="5559F345">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115" w:type="dxa"/>
            <w:tcBorders>
              <w:tl2br w:val="nil"/>
              <w:tr2bl w:val="nil"/>
            </w:tcBorders>
            <w:shd w:val="clear" w:color="auto" w:fill="FFFFFF"/>
            <w:vAlign w:val="center"/>
          </w:tcPr>
          <w:p w14:paraId="4946EFE4">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41"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88"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41"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2025年7月31日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88"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41"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default" w:ascii="Times New Roman" w:hAnsi="Times New Roman" w:cs="Times New Roman"/>
                <w:sz w:val="24"/>
                <w:lang w:val="en-US" w:eastAsia="zh-CN"/>
              </w:rPr>
              <w:t>徐顺星、蓝家财 2025年</w:t>
            </w:r>
            <w:r>
              <w:rPr>
                <w:rFonts w:hint="eastAsia" w:ascii="Times New Roman" w:hAnsi="Times New Roman" w:cs="Times New Roman"/>
                <w:sz w:val="24"/>
                <w:lang w:val="en-US" w:eastAsia="zh-CN"/>
              </w:rPr>
              <w:t>8</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641" w:type="dxa"/>
            <w:gridSpan w:val="3"/>
            <w:tcBorders>
              <w:tl2br w:val="nil"/>
              <w:tr2bl w:val="nil"/>
            </w:tcBorders>
            <w:shd w:val="clear" w:color="auto" w:fill="FFFFFF"/>
          </w:tcPr>
          <w:p w14:paraId="3BA98E22">
            <w:pPr>
              <w:ind w:firstLine="560"/>
              <w:rPr>
                <w:rFonts w:hint="eastAsia"/>
                <w:sz w:val="24"/>
              </w:rPr>
            </w:pPr>
            <w:r>
              <w:rPr>
                <w:rFonts w:hint="eastAsia"/>
                <w:sz w:val="24"/>
                <w:lang w:eastAsia="zh-CN"/>
              </w:rPr>
              <w:t>赣州市章贡区水东加油站是从事成品油储存、经营的企业，位于江西省赣州市章贡区水东镇赣储公路旁，是从事成品油经营的企业，投资人：王邦林，本站设有3台四枪加油机、1台双枪加油机，埋地油罐3个，其中1台30m³95#汽油卧式储罐，2台30m³92#汽油卧式储罐，总储存能力为90m³，该加油站经营规模为三级加油站</w:t>
            </w:r>
            <w:r>
              <w:rPr>
                <w:rFonts w:hint="eastAsia"/>
                <w:sz w:val="24"/>
              </w:rPr>
              <w:t>。</w:t>
            </w:r>
          </w:p>
          <w:p w14:paraId="2096281B">
            <w:r>
              <w:rPr>
                <w:rFonts w:hint="eastAsia"/>
                <w:sz w:val="24"/>
                <w:lang w:val="en-US" w:eastAsia="zh-CN"/>
              </w:rPr>
              <w:t xml:space="preserve">  </w:t>
            </w:r>
            <w:r>
              <w:rPr>
                <w:rFonts w:hint="eastAsia" w:eastAsia="宋体"/>
                <w:sz w:val="24"/>
                <w:lang w:eastAsia="zh-CN"/>
              </w:rPr>
              <w:t>2021年05月13日，该加油站更换了赣州市行政审批局颁发的《成品油零售经营批准证书》，证书编号为油零售证书第虔0111号。证书有效期2021年05月23日至2026年05月22日。</w:t>
            </w:r>
          </w:p>
          <w:p w14:paraId="3DB82FC0">
            <w:pPr>
              <w:ind w:firstLine="480" w:firstLineChars="200"/>
              <w:rPr>
                <w:rFonts w:hint="default" w:eastAsia="宋体"/>
                <w:sz w:val="24"/>
                <w:lang w:val="en-US" w:eastAsia="zh-CN"/>
              </w:rPr>
            </w:pPr>
            <w:r>
              <w:rPr>
                <w:rFonts w:hint="eastAsia" w:eastAsia="宋体" w:cs="Times New Roman"/>
                <w:sz w:val="24"/>
                <w:lang w:eastAsia="zh-CN"/>
              </w:rPr>
              <w:t>受该加油站的委托，承担了该站安全现状评价工作。于2025年6月组成评价小组，对该项目进行了现场勘察、资料的查阅，经过收集资料，并对部分安全技术问题及资料问题进行探讨，对该项目可能存在的危险、有害因素进行辨识，分析导致事故的原因及后果，运用定性、定量的安全评价方法进行针对性评价，同时提出相应的安全对策措施及建议，得出评价结论，编制完成了本评价报告。本报告依据《安全评价通则》的有关要求进行编写。该加油站对本报告所提供的资料附件的真实性负责。</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20115CC1">
            <w:pPr>
              <w:widowControl/>
              <w:spacing w:after="150"/>
              <w:jc w:val="center"/>
            </w:pPr>
            <w:r>
              <w:rPr>
                <w:rFonts w:hint="eastAsia"/>
                <w:sz w:val="24"/>
              </w:rPr>
              <w:t>工艺流程</w:t>
            </w:r>
          </w:p>
        </w:tc>
        <w:tc>
          <w:tcPr>
            <w:tcW w:w="8641" w:type="dxa"/>
            <w:gridSpan w:val="3"/>
            <w:tcBorders>
              <w:tl2br w:val="nil"/>
              <w:tr2bl w:val="nil"/>
            </w:tcBorders>
            <w:shd w:val="clear" w:color="auto" w:fill="FFFFFF"/>
          </w:tcPr>
          <w:p w14:paraId="5E4A93A7">
            <w:pPr>
              <w:ind w:firstLine="560"/>
              <w:rPr>
                <w:sz w:val="24"/>
                <w:szCs w:val="24"/>
              </w:rPr>
            </w:pPr>
            <w:bookmarkStart w:id="0" w:name="_Toc240859955"/>
            <w:r>
              <w:rPr>
                <w:sz w:val="24"/>
                <w:szCs w:val="24"/>
              </w:rPr>
              <w:t>加油站经营</w:t>
            </w:r>
            <w:r>
              <w:rPr>
                <w:rFonts w:hint="eastAsia"/>
                <w:sz w:val="24"/>
                <w:szCs w:val="24"/>
              </w:rPr>
              <w:t>的</w:t>
            </w:r>
            <w:r>
              <w:rPr>
                <w:sz w:val="24"/>
                <w:szCs w:val="24"/>
              </w:rPr>
              <w:t>汽油，其来料运输由专业汽油运输单位及车辆负责到站，加油站不负责化学品（汽油）的道路运输。其经营工艺如下：</w:t>
            </w:r>
          </w:p>
          <w:p w14:paraId="6E0F4DA6">
            <w:pPr>
              <w:ind w:firstLine="560"/>
              <w:rPr>
                <w:sz w:val="24"/>
                <w:szCs w:val="24"/>
              </w:rPr>
            </w:pPr>
            <w:r>
              <w:rPr>
                <w:sz w:val="24"/>
                <w:szCs w:val="24"/>
              </w:rPr>
              <w:t>1、卸油</w:t>
            </w:r>
            <w:bookmarkEnd w:id="0"/>
            <w:r>
              <w:rPr>
                <w:sz w:val="24"/>
                <w:szCs w:val="24"/>
              </w:rPr>
              <w:t>工艺</w:t>
            </w:r>
            <w:r>
              <w:rPr>
                <w:rFonts w:hint="eastAsia"/>
                <w:sz w:val="24"/>
                <w:szCs w:val="24"/>
              </w:rPr>
              <w:t>流程</w:t>
            </w:r>
          </w:p>
          <w:p w14:paraId="5C22CD4B">
            <w:pPr>
              <w:pStyle w:val="7"/>
              <w:ind w:firstLine="560"/>
              <w:jc w:val="both"/>
              <w:rPr>
                <w:sz w:val="24"/>
                <w:szCs w:val="24"/>
              </w:rPr>
            </w:pPr>
            <w:r>
              <w:rPr>
                <w:rFonts w:hint="eastAsia" w:ascii="宋体" w:hAnsi="宋体" w:cs="宋体"/>
                <w:sz w:val="24"/>
                <w:szCs w:val="24"/>
              </w:rPr>
              <w:t>该站采用密闭自流卸油方式。先检查静电接地装置是否完好，当油品用油罐车拉到加油站后，在卸油口附近停稳熄火，先用加油站的静电接地导线与油罐车的静电导出接点跨接在一起，</w:t>
            </w:r>
            <w:r>
              <w:rPr>
                <w:rFonts w:hint="eastAsia"/>
                <w:sz w:val="24"/>
                <w:szCs w:val="24"/>
              </w:rPr>
              <w:t>应在油罐车静置静电释放5mim后</w:t>
            </w:r>
            <w:r>
              <w:rPr>
                <w:rFonts w:hint="eastAsia" w:ascii="宋体" w:hAnsi="宋体" w:cs="宋体"/>
                <w:sz w:val="24"/>
                <w:szCs w:val="24"/>
              </w:rPr>
              <w:t>，</w:t>
            </w:r>
            <w:r>
              <w:rPr>
                <w:rFonts w:hint="eastAsia"/>
                <w:sz w:val="24"/>
                <w:szCs w:val="24"/>
              </w:rPr>
              <w:t>检查确认油罐计量孔密闭良好，汽油罐通气管上阀门应处于关闭状态，安装呼吸阀上通气管上的阀门应处于开启状态</w:t>
            </w:r>
            <w:r>
              <w:rPr>
                <w:rFonts w:hint="eastAsia" w:ascii="宋体" w:hAnsi="宋体" w:cs="宋体"/>
                <w:sz w:val="24"/>
                <w:szCs w:val="24"/>
              </w:rPr>
              <w:t>。然后用快速接头将油罐车的卸油软管与储油罐的密闭卸油口连接在一起，</w:t>
            </w:r>
            <w:r>
              <w:rPr>
                <w:rFonts w:hint="eastAsia"/>
                <w:sz w:val="24"/>
                <w:szCs w:val="24"/>
              </w:rPr>
              <w:t>通过采取调节阀门开度等措施控制卸油流速不大于4.5m/s，</w:t>
            </w:r>
            <w:r>
              <w:rPr>
                <w:rFonts w:hint="eastAsia" w:ascii="宋体" w:hAnsi="宋体" w:cs="宋体"/>
                <w:sz w:val="24"/>
                <w:szCs w:val="24"/>
              </w:rPr>
              <w:t>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卸油过程采用卸油油气回收系统。</w:t>
            </w:r>
          </w:p>
          <w:p w14:paraId="3E2A96FB">
            <w:pPr>
              <w:ind w:firstLine="560"/>
              <w:rPr>
                <w:rFonts w:hint="eastAsia" w:ascii="宋体" w:hAnsi="宋体" w:cs="宋体"/>
              </w:rPr>
            </w:pPr>
            <w:r>
              <w:rPr>
                <w:rFonts w:hint="eastAsia" w:ascii="宋体" w:hAnsi="宋体" w:cs="宋体"/>
                <w:sz w:val="24"/>
                <w:szCs w:val="24"/>
              </w:rPr>
              <w:t>汽油卸油工艺框图如下：</w:t>
            </w:r>
          </w:p>
          <w:p w14:paraId="02EEE1C5">
            <w:pPr>
              <w:suppressAutoHyphens/>
              <w:spacing w:line="360" w:lineRule="auto"/>
              <w:ind w:firstLine="480"/>
              <w:textAlignment w:val="center"/>
              <w:rPr>
                <w:rFonts w:hint="eastAsia" w:ascii="宋体" w:hAnsi="宋体" w:cs="宋体"/>
                <w:snapToGrid w:val="0"/>
                <w:kern w:val="0"/>
                <w:sz w:val="24"/>
              </w:rPr>
            </w:pPr>
            <w:r>
              <w:rPr>
                <w:snapToGrid w:val="0"/>
                <w:kern w:val="0"/>
                <w:sz w:val="24"/>
                <w:lang w:val="zh-CN"/>
              </w:rPr>
              <w:object>
                <v:shape id="_x0000_i1025" o:spt="75" type="#_x0000_t75" style="height:66pt;width:362.3pt;" o:ole="t" filled="f" o:preferrelative="t" stroked="f" coordsize="21600,21600">
                  <v:path/>
                  <v:fill on="f" focussize="0,0"/>
                  <v:stroke on="f"/>
                  <v:imagedata r:id="rId5" croptop="7085f" o:title=""/>
                  <o:lock v:ext="edit" aspectratio="f"/>
                  <w10:wrap type="none"/>
                  <w10:anchorlock/>
                </v:shape>
                <o:OLEObject Type="Embed" ProgID="Visio.Drawing.11" ShapeID="_x0000_i1025" DrawAspect="Content" ObjectID="_1468075725" r:id="rId4">
                  <o:LockedField>false</o:LockedField>
                </o:OLEObject>
              </w:object>
            </w:r>
          </w:p>
          <w:p w14:paraId="2157FA17">
            <w:pPr>
              <w:ind w:firstLine="560"/>
              <w:rPr>
                <w:sz w:val="24"/>
                <w:szCs w:val="24"/>
              </w:rPr>
            </w:pPr>
            <w:bookmarkStart w:id="1" w:name="_Toc240859956"/>
            <w:r>
              <w:rPr>
                <w:rFonts w:hint="eastAsia"/>
                <w:sz w:val="24"/>
                <w:szCs w:val="24"/>
              </w:rPr>
              <w:t>2、</w:t>
            </w:r>
            <w:bookmarkEnd w:id="1"/>
            <w:r>
              <w:rPr>
                <w:rFonts w:hint="eastAsia"/>
                <w:sz w:val="24"/>
                <w:szCs w:val="24"/>
              </w:rPr>
              <w:t>加油工艺流程</w:t>
            </w:r>
          </w:p>
          <w:p w14:paraId="47220EB0">
            <w:pPr>
              <w:ind w:firstLine="560"/>
              <w:rPr>
                <w:rStyle w:val="25"/>
                <w:sz w:val="24"/>
                <w:szCs w:val="24"/>
              </w:rPr>
            </w:pPr>
            <w:r>
              <w:rPr>
                <w:rFonts w:hint="eastAsia"/>
                <w:sz w:val="24"/>
                <w:szCs w:val="24"/>
              </w:rPr>
              <w:t>加油作业时，采用潜油泵提供的动力，油品通过加油管道至加油机，进入受油容器。同时，加汽油作业时，设有油气回收系统，汽油蒸汽通过油气回收管道回至汽油罐。</w:t>
            </w:r>
          </w:p>
          <w:p w14:paraId="009A479D">
            <w:pPr>
              <w:pStyle w:val="15"/>
              <w:ind w:firstLine="360"/>
            </w:pPr>
            <w:r>
              <w:pict>
                <v:shape id="Object 117" o:spid="_x0000_s1026" o:spt="75" type="#_x0000_t75" style="position:absolute;left:0pt;margin-left:59pt;margin-top:6.5pt;height:134.25pt;width:295.8pt;z-index:251659264;mso-width-relative:page;mso-height-relative:page;" o:ole="t" filled="f" o:preferrelative="t" stroked="f" coordsize="21600,21600">
                  <v:path/>
                  <v:fill on="f" focussize="0,0"/>
                  <v:stroke on="f"/>
                  <v:imagedata r:id="rId7" o:title=""/>
                  <o:lock v:ext="edit" aspectratio="f"/>
                </v:shape>
                <o:OLEObject Type="Embed" ProgID="Visio.Drawing.11" ShapeID="Object 117" DrawAspect="Content" ObjectID="_1468075726" r:id="rId6">
                  <o:LockedField>false</o:LockedField>
                </o:OLEObject>
              </w:pict>
            </w:r>
          </w:p>
          <w:p w14:paraId="39BA0510">
            <w:pPr>
              <w:pStyle w:val="16"/>
              <w:ind w:firstLine="480"/>
              <w:rPr>
                <w:rFonts w:hint="eastAsia"/>
              </w:rPr>
            </w:pPr>
          </w:p>
          <w:p w14:paraId="3061050A">
            <w:pPr>
              <w:pStyle w:val="17"/>
            </w:pPr>
          </w:p>
          <w:p w14:paraId="150B27DA">
            <w:pPr>
              <w:ind w:firstLine="560"/>
            </w:pPr>
          </w:p>
          <w:p w14:paraId="68049A27">
            <w:pPr>
              <w:pStyle w:val="15"/>
              <w:ind w:firstLine="360"/>
            </w:pPr>
          </w:p>
          <w:p w14:paraId="139AC0B5">
            <w:pPr>
              <w:ind w:firstLine="560"/>
            </w:pPr>
          </w:p>
          <w:p w14:paraId="32DFA0DE">
            <w:pPr>
              <w:ind w:firstLine="560"/>
            </w:pPr>
          </w:p>
          <w:p w14:paraId="482B3891">
            <w:pPr>
              <w:ind w:firstLine="560"/>
            </w:pPr>
          </w:p>
          <w:p w14:paraId="3D25FD4D">
            <w:pPr>
              <w:ind w:firstLine="560"/>
            </w:pPr>
          </w:p>
          <w:p w14:paraId="54CBFC36">
            <w:pPr>
              <w:pStyle w:val="9"/>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41"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1564A64D">
      <w:pPr>
        <w:rPr>
          <w:rFonts w:hint="eastAsia" w:eastAsia="宋体"/>
          <w:lang w:eastAsia="zh-CN"/>
        </w:rPr>
      </w:pPr>
      <w:r>
        <w:rPr>
          <w:rFonts w:hint="eastAsia" w:eastAsia="宋体"/>
          <w:lang w:eastAsia="zh-CN"/>
        </w:rPr>
        <w:drawing>
          <wp:inline distT="0" distB="0" distL="114300" distR="114300">
            <wp:extent cx="5246370" cy="6995160"/>
            <wp:effectExtent l="0" t="0" r="11430" b="15240"/>
            <wp:docPr id="4" name="图片 4" descr="IMG_20250809_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809_145638"/>
                    <pic:cNvPicPr>
                      <a:picLocks noChangeAspect="1"/>
                    </pic:cNvPicPr>
                  </pic:nvPicPr>
                  <pic:blipFill>
                    <a:blip r:embed="rId8"/>
                    <a:stretch>
                      <a:fillRect/>
                    </a:stretch>
                  </pic:blipFill>
                  <pic:spPr>
                    <a:xfrm>
                      <a:off x="0" y="0"/>
                      <a:ext cx="5246370" cy="6995160"/>
                    </a:xfrm>
                    <a:prstGeom prst="rect">
                      <a:avLst/>
                    </a:prstGeom>
                  </pic:spPr>
                </pic:pic>
              </a:graphicData>
            </a:graphic>
          </wp:inline>
        </w:drawing>
      </w:r>
    </w:p>
    <w:p w14:paraId="6B305180">
      <w:pPr>
        <w:rPr>
          <w:rFonts w:hint="eastAsia" w:eastAsia="宋体"/>
          <w:lang w:eastAsia="zh-CN"/>
        </w:rPr>
      </w:pPr>
    </w:p>
    <w:p w14:paraId="13C1EE28">
      <w:pPr>
        <w:rPr>
          <w:rFonts w:hint="eastAsia"/>
          <w:lang w:eastAsia="zh-CN"/>
        </w:rPr>
      </w:pPr>
      <w:r>
        <w:rPr>
          <w:rFonts w:hint="eastAsia"/>
          <w:lang w:eastAsia="zh-CN"/>
        </w:rPr>
        <w:drawing>
          <wp:inline distT="0" distB="0" distL="114300" distR="114300">
            <wp:extent cx="5246370" cy="6995160"/>
            <wp:effectExtent l="0" t="0" r="11430" b="15240"/>
            <wp:docPr id="3" name="图片 3" descr="IMG_20250809_14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809_145616"/>
                    <pic:cNvPicPr>
                      <a:picLocks noChangeAspect="1"/>
                    </pic:cNvPicPr>
                  </pic:nvPicPr>
                  <pic:blipFill>
                    <a:blip r:embed="rId9"/>
                    <a:stretch>
                      <a:fillRect/>
                    </a:stretch>
                  </pic:blipFill>
                  <pic:spPr>
                    <a:xfrm>
                      <a:off x="0" y="0"/>
                      <a:ext cx="5246370" cy="6995160"/>
                    </a:xfrm>
                    <a:prstGeom prst="rect">
                      <a:avLst/>
                    </a:prstGeom>
                  </pic:spPr>
                </pic:pic>
              </a:graphicData>
            </a:graphic>
          </wp:inline>
        </w:drawing>
      </w:r>
    </w:p>
    <w:p w14:paraId="58D3CBC5">
      <w:pPr>
        <w:rPr>
          <w:rFonts w:hint="eastAsia"/>
          <w:lang w:eastAsia="zh-CN"/>
        </w:rPr>
      </w:pPr>
      <w:r>
        <w:rPr>
          <w:rFonts w:hint="eastAsia"/>
          <w:lang w:eastAsia="zh-CN"/>
        </w:rPr>
        <w:br w:type="page"/>
      </w:r>
    </w:p>
    <w:p w14:paraId="0A2220E2">
      <w:pPr>
        <w:sectPr>
          <w:pgSz w:w="11906" w:h="16838"/>
          <w:pgMar w:top="1440" w:right="1800" w:bottom="1440" w:left="1800" w:header="851" w:footer="992" w:gutter="0"/>
          <w:cols w:space="720" w:num="1"/>
          <w:docGrid w:type="lines" w:linePitch="312" w:charSpace="0"/>
        </w:sectPr>
      </w:pPr>
    </w:p>
    <w:p w14:paraId="013A5831">
      <w:pPr>
        <w:rPr>
          <w:rFonts w:hint="eastAsia"/>
          <w:lang w:eastAsia="zh-CN"/>
        </w:rPr>
      </w:pPr>
      <w:r>
        <w:drawing>
          <wp:anchor distT="0" distB="0" distL="114300" distR="114300" simplePos="0" relativeHeight="251660288" behindDoc="0" locked="0" layoutInCell="1" allowOverlap="1">
            <wp:simplePos x="0" y="0"/>
            <wp:positionH relativeFrom="column">
              <wp:posOffset>-71755</wp:posOffset>
            </wp:positionH>
            <wp:positionV relativeFrom="paragraph">
              <wp:posOffset>-727710</wp:posOffset>
            </wp:positionV>
            <wp:extent cx="8846185" cy="6248400"/>
            <wp:effectExtent l="0" t="0" r="12065"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8846185" cy="6248400"/>
                    </a:xfrm>
                    <a:prstGeom prst="rect">
                      <a:avLst/>
                    </a:prstGeom>
                    <a:noFill/>
                    <a:ln>
                      <a:noFill/>
                    </a:ln>
                  </pic:spPr>
                </pic:pic>
              </a:graphicData>
            </a:graphic>
          </wp:anchor>
        </w:drawing>
      </w:r>
      <w:r>
        <w:rPr>
          <w:rFonts w:hint="eastAsia"/>
          <w:lang w:eastAsia="zh-CN"/>
        </w:rPr>
        <w:br w:type="page"/>
      </w:r>
    </w:p>
    <w:p w14:paraId="171DAAC9">
      <w:pPr>
        <w:rPr>
          <w:rFonts w:hint="eastAsia"/>
          <w:lang w:eastAsia="zh-CN"/>
        </w:rPr>
        <w:sectPr>
          <w:pgSz w:w="16838" w:h="11906" w:orient="landscape"/>
          <w:pgMar w:top="1800" w:right="1440" w:bottom="1800" w:left="1440" w:header="851" w:footer="992" w:gutter="0"/>
          <w:cols w:space="720" w:num="1"/>
          <w:docGrid w:type="lines" w:linePitch="312" w:charSpace="0"/>
        </w:sectPr>
      </w:pPr>
    </w:p>
    <w:p w14:paraId="74E6BE4A">
      <w:pPr>
        <w:rPr>
          <w:rFonts w:hint="eastAsia"/>
          <w:lang w:eastAsia="zh-CN"/>
        </w:rPr>
      </w:pPr>
      <w:r>
        <w:drawing>
          <wp:anchor distT="0" distB="0" distL="114300" distR="114300" simplePos="0" relativeHeight="251661312" behindDoc="0" locked="0" layoutInCell="1" allowOverlap="1">
            <wp:simplePos x="0" y="0"/>
            <wp:positionH relativeFrom="column">
              <wp:posOffset>-356870</wp:posOffset>
            </wp:positionH>
            <wp:positionV relativeFrom="paragraph">
              <wp:posOffset>-60325</wp:posOffset>
            </wp:positionV>
            <wp:extent cx="6028055" cy="8542655"/>
            <wp:effectExtent l="0" t="0" r="10795" b="1079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6028055" cy="8542655"/>
                    </a:xfrm>
                    <a:prstGeom prst="rect">
                      <a:avLst/>
                    </a:prstGeom>
                    <a:noFill/>
                    <a:ln>
                      <a:noFill/>
                    </a:ln>
                  </pic:spPr>
                </pic:pic>
              </a:graphicData>
            </a:graphic>
          </wp:anchor>
        </w:drawing>
      </w:r>
      <w:r>
        <w:rPr>
          <w:rFonts w:hint="eastAsia"/>
          <w:lang w:eastAsia="zh-CN"/>
        </w:rPr>
        <w:br w:type="page"/>
      </w:r>
    </w:p>
    <w:p w14:paraId="48489782">
      <w:pPr>
        <w:rPr>
          <w:rFonts w:hint="eastAsia"/>
          <w:lang w:eastAsia="zh-CN"/>
        </w:rPr>
      </w:pPr>
      <w:r>
        <w:drawing>
          <wp:inline distT="0" distB="0" distL="114300" distR="114300">
            <wp:extent cx="5274310" cy="7619365"/>
            <wp:effectExtent l="0" t="0" r="254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4310" cy="7619365"/>
                    </a:xfrm>
                    <a:prstGeom prst="rect">
                      <a:avLst/>
                    </a:prstGeom>
                    <a:noFill/>
                    <a:ln>
                      <a:noFill/>
                    </a:ln>
                  </pic:spPr>
                </pic:pic>
              </a:graphicData>
            </a:graphic>
          </wp:inline>
        </w:drawing>
      </w:r>
    </w:p>
    <w:p w14:paraId="23F4E520">
      <w:pPr>
        <w:rPr>
          <w:rFonts w:hint="eastAsia"/>
          <w:lang w:eastAsia="zh-CN"/>
        </w:rPr>
      </w:pPr>
      <w:r>
        <w:rPr>
          <w:rFonts w:hint="eastAsia"/>
          <w:lang w:eastAsia="zh-CN"/>
        </w:rPr>
        <w:br w:type="page"/>
      </w:r>
    </w:p>
    <w:p w14:paraId="3063B77D">
      <w:pPr>
        <w:rPr>
          <w:rFonts w:hint="eastAsia"/>
          <w:lang w:eastAsia="zh-CN"/>
        </w:rPr>
      </w:pPr>
      <w:bookmarkStart w:id="2" w:name="_GoBack"/>
      <w:bookmarkEnd w:id="2"/>
      <w:r>
        <w:drawing>
          <wp:inline distT="0" distB="0" distL="114300" distR="114300">
            <wp:extent cx="5272405" cy="7530465"/>
            <wp:effectExtent l="0" t="0" r="4445"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2405" cy="753046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8"/>
    <w:next w:val="1"/>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
    <w:basedOn w:val="27"/>
    <w:next w:val="22"/>
    <w:autoRedefine/>
    <w:qFormat/>
    <w:uiPriority w:val="0"/>
    <w:pPr>
      <w:autoSpaceDE w:val="0"/>
      <w:autoSpaceDN w:val="0"/>
    </w:pPr>
    <w:rPr>
      <w:rFonts w:hint="eastAsia" w:ascii="宋体"/>
      <w:sz w:val="24"/>
    </w:rPr>
  </w:style>
  <w:style w:type="paragraph" w:customStyle="1" w:styleId="2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正文2"/>
    <w:basedOn w:val="1"/>
    <w:autoRedefine/>
    <w:qFormat/>
    <w:uiPriority w:val="0"/>
    <w:pPr>
      <w:spacing w:line="440" w:lineRule="atLeast"/>
      <w:ind w:firstLine="567"/>
    </w:pPr>
    <w:rPr>
      <w:sz w:val="24"/>
      <w:szCs w:val="20"/>
    </w:rPr>
  </w:style>
  <w:style w:type="paragraph" w:customStyle="1" w:styleId="29">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0">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1">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Microsoft_Visio_2003-2010___2.vsd"/><Relationship Id="rId5" Type="http://schemas.openxmlformats.org/officeDocument/2006/relationships/image" Target="media/image1.emf"/><Relationship Id="rId4" Type="http://schemas.openxmlformats.org/officeDocument/2006/relationships/oleObject" Target="embeddings/Microsoft_Visio_2003-2010___1.vsd"/><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1128</Words>
  <Characters>1318</Characters>
  <Lines>8</Lines>
  <Paragraphs>2</Paragraphs>
  <TotalTime>9</TotalTime>
  <ScaleCrop>false</ScaleCrop>
  <LinksUpToDate>false</LinksUpToDate>
  <CharactersWithSpaces>1325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2025-10-14T06:29:22Z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A67C069571A74B33A23811936740D622_13</vt:lpwstr>
  </property>
  <property fmtid="{D5CDD505-2E9C-101B-9397-08002B2CF9AE}" pid="4" name="KSOTemplateDocerSaveRecord">
    <vt:lpwstr>eyJoZGlkIjoiYzJmYThmZTViOGE1ZWVkN2ZmYjcyMzk1NTlmNjQ2YjIiLCJ1c2VySWQiOiI0OTA1OTA4NjAifQ==</vt:lpwstr>
  </property>
</Properties>
</file>