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bookmarkStart w:id="49" w:name="_GoBack"/>
            <w:r>
              <w:rPr>
                <w:rFonts w:hint="eastAsia"/>
                <w:color w:val="000000"/>
                <w:szCs w:val="21"/>
                <w:lang w:eastAsia="zh-CN"/>
              </w:rPr>
              <w:t>泰安鲁润油品销售有限公司</w:t>
            </w:r>
            <w:r>
              <w:rPr>
                <w:rFonts w:hint="eastAsia"/>
                <w:color w:val="000000"/>
                <w:szCs w:val="21"/>
                <w:lang w:eastAsia="zh-CN"/>
              </w:rPr>
              <w:t>经</w:t>
            </w:r>
            <w:bookmarkEnd w:id="49"/>
            <w:r>
              <w:rPr>
                <w:rFonts w:hint="eastAsia"/>
                <w:color w:val="000000"/>
                <w:szCs w:val="21"/>
                <w:lang w:eastAsia="zh-CN"/>
              </w:rPr>
              <w:t>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pStyle w:val="24"/>
              <w:adjustRightInd w:val="0"/>
              <w:snapToGrid w:val="0"/>
              <w:jc w:val="left"/>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该加油站现有埋地双层储油罐</w:t>
            </w:r>
            <w:r>
              <w:rPr>
                <w:rFonts w:hint="eastAsia"/>
                <w:color w:val="auto"/>
                <w:highlight w:val="none"/>
                <w:lang w:val="en-US" w:eastAsia="zh-CN"/>
              </w:rPr>
              <w:t>3</w:t>
            </w:r>
            <w:r>
              <w:rPr>
                <w:rFonts w:hint="eastAsia"/>
                <w:color w:val="auto"/>
                <w:highlight w:val="none"/>
              </w:rPr>
              <w:t>台双层储罐：</w:t>
            </w:r>
            <w:r>
              <w:rPr>
                <w:rFonts w:hint="eastAsia"/>
                <w:color w:val="auto"/>
                <w:highlight w:val="none"/>
                <w:lang w:val="en-US" w:eastAsia="zh-CN"/>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92#汽油罐、1台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95#汽油罐、1台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柴油罐，1台油气回收处理装置</w:t>
            </w:r>
            <w:r>
              <w:rPr>
                <w:rFonts w:hint="eastAsia"/>
                <w:color w:val="auto"/>
                <w:lang w:eastAsia="zh-CN"/>
              </w:rPr>
              <w:t>。</w:t>
            </w:r>
            <w:r>
              <w:rPr>
                <w:rFonts w:hint="eastAsia"/>
                <w:color w:val="auto"/>
                <w:lang w:val="en-US" w:eastAsia="zh-CN"/>
              </w:rPr>
              <w:t>加油站设置4座加油岛，共设</w:t>
            </w:r>
            <w:r>
              <w:rPr>
                <w:rFonts w:hint="eastAsia" w:ascii="宋体" w:hAnsi="宋体" w:cs="宋体"/>
                <w:color w:val="auto"/>
                <w:lang w:val="en-US" w:eastAsia="zh-CN"/>
              </w:rPr>
              <w:t>4</w:t>
            </w:r>
            <w:r>
              <w:rPr>
                <w:rFonts w:hint="eastAsia" w:ascii="宋体" w:hAnsi="宋体" w:cs="宋体"/>
                <w:color w:val="auto"/>
              </w:rPr>
              <w:t>台双枪加油机</w:t>
            </w:r>
            <w:r>
              <w:rPr>
                <w:rFonts w:hint="eastAsia"/>
                <w:color w:val="auto"/>
                <w:highlight w:val="none"/>
                <w:lang w:val="en-US" w:eastAsia="zh-CN"/>
              </w:rPr>
              <w:t>2台</w:t>
            </w:r>
            <w:r>
              <w:rPr>
                <w:rFonts w:hint="eastAsia"/>
                <w:color w:val="auto"/>
                <w:highlight w:val="none"/>
              </w:rPr>
              <w:t>9</w:t>
            </w:r>
            <w:r>
              <w:rPr>
                <w:rFonts w:hint="eastAsia"/>
                <w:color w:val="auto"/>
                <w:highlight w:val="none"/>
                <w:lang w:val="en-US" w:eastAsia="zh-CN"/>
              </w:rPr>
              <w:t>2</w:t>
            </w:r>
            <w:r>
              <w:rPr>
                <w:rFonts w:hint="eastAsia"/>
                <w:color w:val="auto"/>
                <w:highlight w:val="none"/>
              </w:rPr>
              <w:t>#汽油</w:t>
            </w:r>
            <w:r>
              <w:rPr>
                <w:rFonts w:hint="eastAsia"/>
                <w:color w:val="auto"/>
                <w:highlight w:val="none"/>
                <w:lang w:eastAsia="zh-CN"/>
              </w:rPr>
              <w:t>、</w:t>
            </w:r>
            <w:r>
              <w:rPr>
                <w:rFonts w:hint="eastAsia"/>
                <w:color w:val="auto"/>
                <w:highlight w:val="none"/>
                <w:lang w:val="en-US" w:eastAsia="zh-CN"/>
              </w:rPr>
              <w:t>1台</w:t>
            </w:r>
            <w:r>
              <w:rPr>
                <w:rFonts w:hint="eastAsia"/>
                <w:color w:val="auto"/>
                <w:highlight w:val="none"/>
              </w:rPr>
              <w:t>95#汽油</w:t>
            </w:r>
            <w:r>
              <w:rPr>
                <w:rFonts w:hint="eastAsia"/>
                <w:color w:val="auto"/>
                <w:highlight w:val="none"/>
                <w:lang w:eastAsia="zh-CN"/>
              </w:rPr>
              <w:t>、</w:t>
            </w:r>
            <w:r>
              <w:rPr>
                <w:rFonts w:hint="eastAsia"/>
                <w:color w:val="auto"/>
                <w:highlight w:val="none"/>
                <w:lang w:val="en-US" w:eastAsia="zh-CN"/>
              </w:rPr>
              <w:t>1台柴油</w:t>
            </w:r>
            <w:r>
              <w:rPr>
                <w:rFonts w:hint="eastAsia" w:ascii="宋体" w:hAnsi="宋体" w:cs="宋体"/>
                <w:color w:val="auto"/>
              </w:rPr>
              <w:t>）</w:t>
            </w:r>
            <w:r>
              <w:rPr>
                <w:rFonts w:hint="eastAsia" w:ascii="宋体" w:hAnsi="宋体" w:eastAsia="宋体" w:cs="宋体"/>
                <w:color w:val="auto"/>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jc w:val="center"/>
              <w:rPr>
                <w:rFonts w:hint="default" w:ascii="宋体" w:hAnsi="宋体" w:eastAsia="宋体" w:cs="宋体"/>
                <w:sz w:val="24"/>
                <w:lang w:val="en-US" w:eastAsia="zh-CN"/>
              </w:rPr>
            </w:pPr>
            <w:r>
              <w:rPr>
                <w:rFonts w:hint="eastAsia" w:ascii="宋体" w:hAnsi="宋体" w:eastAsia="宋体" w:cs="宋体"/>
                <w:sz w:val="24"/>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jc w:val="center"/>
              <w:rPr>
                <w:rFonts w:hint="eastAsia" w:ascii="宋体" w:hAnsi="宋体" w:eastAsia="宋体" w:cs="宋体"/>
                <w:sz w:val="24"/>
                <w:lang w:val="en-US" w:eastAsia="en-US"/>
              </w:rPr>
            </w:pPr>
            <w:r>
              <w:rPr>
                <w:rFonts w:hint="eastAsia" w:ascii="宋体" w:hAnsi="宋体" w:eastAsia="宋体" w:cs="宋体"/>
                <w:sz w:val="24"/>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jc w:val="center"/>
              <w:rPr>
                <w:rFonts w:hint="eastAsia" w:ascii="宋体" w:hAnsi="宋体" w:eastAsia="宋体" w:cs="宋体"/>
                <w:sz w:val="24"/>
                <w:lang w:val="en-US" w:eastAsia="en-US"/>
              </w:rPr>
            </w:pPr>
            <w:r>
              <w:rPr>
                <w:rFonts w:hint="eastAsia" w:ascii="宋体" w:hAnsi="宋体" w:eastAsia="宋体" w:cs="宋体"/>
                <w:sz w:val="24"/>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jc w:val="center"/>
              <w:rPr>
                <w:rFonts w:hint="eastAsia" w:ascii="宋体" w:hAnsi="宋体" w:eastAsia="宋体" w:cs="宋体"/>
                <w:sz w:val="24"/>
                <w:lang w:val="en-US" w:eastAsia="en-US"/>
              </w:rPr>
            </w:pPr>
            <w:r>
              <w:rPr>
                <w:rFonts w:hint="eastAsia" w:ascii="宋体" w:hAnsi="宋体" w:eastAsia="宋体" w:cs="宋体"/>
                <w:sz w:val="24"/>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C12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7E32863">
            <w:pPr>
              <w:jc w:val="center"/>
              <w:rPr>
                <w:rFonts w:hint="eastAsia" w:ascii="宋体" w:hAnsi="宋体" w:eastAsia="宋体" w:cs="宋体"/>
                <w:sz w:val="24"/>
                <w:lang w:val="en-US" w:eastAsia="zh-CN"/>
              </w:rPr>
            </w:pPr>
            <w:r>
              <w:rPr>
                <w:rFonts w:hint="eastAsia" w:ascii="宋体" w:hAnsi="宋体" w:eastAsia="宋体" w:cs="宋体"/>
                <w:sz w:val="24"/>
                <w:lang w:val="en-US" w:eastAsia="zh-CN"/>
              </w:rPr>
              <w:t>赵云峰</w:t>
            </w:r>
          </w:p>
        </w:tc>
        <w:tc>
          <w:tcPr>
            <w:tcW w:w="2918" w:type="dxa"/>
            <w:tcBorders>
              <w:tl2br w:val="nil"/>
              <w:tr2bl w:val="nil"/>
            </w:tcBorders>
            <w:shd w:val="clear" w:color="auto" w:fill="auto"/>
            <w:noWrap/>
            <w:vAlign w:val="center"/>
          </w:tcPr>
          <w:p w14:paraId="6DD091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5FDD6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jc w:val="center"/>
              <w:rPr>
                <w:rFonts w:hint="eastAsia" w:ascii="宋体" w:hAnsi="宋体" w:eastAsia="宋体" w:cs="宋体"/>
                <w:sz w:val="24"/>
                <w:lang w:val="en-US" w:eastAsia="zh-CN"/>
              </w:rPr>
            </w:pPr>
            <w:r>
              <w:rPr>
                <w:rFonts w:hint="eastAsia" w:ascii="宋体" w:hAnsi="宋体" w:eastAsia="宋体" w:cs="宋体"/>
                <w:sz w:val="24"/>
                <w:lang w:val="en-US" w:eastAsia="zh-CN"/>
              </w:rPr>
              <w:t>赵燕</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jc w:val="center"/>
              <w:rPr>
                <w:rFonts w:hint="eastAsia" w:ascii="宋体" w:hAnsi="宋体" w:eastAsia="宋体" w:cs="宋体"/>
                <w:sz w:val="24"/>
                <w:lang w:val="en-US" w:eastAsia="zh-CN"/>
              </w:rPr>
            </w:pPr>
            <w:r>
              <w:rPr>
                <w:rFonts w:hint="eastAsia" w:ascii="宋体" w:hAnsi="宋体" w:eastAsia="宋体" w:cs="宋体"/>
                <w:sz w:val="24"/>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jc w:val="center"/>
              <w:rPr>
                <w:rFonts w:hint="eastAsia" w:ascii="宋体" w:hAnsi="宋体" w:eastAsia="宋体" w:cs="宋体"/>
                <w:sz w:val="24"/>
                <w:lang w:val="en-US" w:eastAsia="en-US"/>
              </w:rPr>
            </w:pPr>
            <w:r>
              <w:rPr>
                <w:rFonts w:hint="eastAsia" w:ascii="宋体" w:hAnsi="宋体" w:eastAsia="宋体" w:cs="宋体"/>
                <w:sz w:val="24"/>
                <w:lang w:val="en-US" w:eastAsia="zh-CN"/>
              </w:rPr>
              <w:t>崔强</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2025.6.17</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辛磊、赵燕</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2025.6.25</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辛磊、赵燕</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2025.6.26</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辛磊、赵燕</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2025.8.11</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辛磊、赵燕</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安全评价报告提交时间：2025.8.26</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7D617DB1">
      <w:pPr>
        <w:pStyle w:val="18"/>
        <w:spacing w:before="312" w:after="312"/>
        <w:rPr>
          <w:color w:val="auto"/>
        </w:rPr>
      </w:pPr>
      <w:bookmarkStart w:id="0" w:name="_Toc102633969"/>
      <w:bookmarkStart w:id="1" w:name="_Toc102634226"/>
      <w:bookmarkStart w:id="2" w:name="_Toc102634395"/>
      <w:bookmarkStart w:id="3" w:name="_Toc8295"/>
      <w:bookmarkStart w:id="4" w:name="_Toc15033742"/>
      <w:bookmarkStart w:id="5" w:name="_Toc102633895"/>
      <w:r>
        <w:rPr>
          <w:rFonts w:hint="eastAsia"/>
          <w:color w:val="auto"/>
        </w:rPr>
        <w:t>第二章 加油站概况</w:t>
      </w:r>
      <w:bookmarkEnd w:id="0"/>
      <w:bookmarkEnd w:id="1"/>
      <w:bookmarkEnd w:id="2"/>
      <w:bookmarkEnd w:id="3"/>
      <w:bookmarkEnd w:id="4"/>
      <w:bookmarkEnd w:id="5"/>
    </w:p>
    <w:p w14:paraId="201FE6D0">
      <w:pPr>
        <w:pStyle w:val="3"/>
        <w:spacing w:before="312" w:beforeLines="100" w:after="312" w:afterLines="100" w:line="360" w:lineRule="auto"/>
        <w:ind w:firstLine="0"/>
        <w:rPr>
          <w:color w:val="auto"/>
        </w:rPr>
      </w:pPr>
      <w:bookmarkStart w:id="6" w:name="_Toc15033743"/>
      <w:bookmarkStart w:id="7" w:name="_Toc13779"/>
      <w:bookmarkStart w:id="8" w:name="_Toc102634227"/>
      <w:bookmarkStart w:id="9" w:name="_Toc272364524"/>
      <w:bookmarkStart w:id="10" w:name="_Toc102634396"/>
      <w:bookmarkStart w:id="11" w:name="_Toc102633970"/>
      <w:bookmarkStart w:id="12" w:name="_Toc102633896"/>
      <w:bookmarkStart w:id="13" w:name="_Toc30066"/>
      <w:bookmarkStart w:id="14" w:name="_Toc208733856"/>
      <w:bookmarkStart w:id="15" w:name="_Toc26504"/>
      <w:r>
        <w:rPr>
          <w:rFonts w:hint="eastAsia"/>
          <w:color w:val="auto"/>
        </w:rPr>
        <w:t>第一节 加油站基本情况</w:t>
      </w:r>
      <w:bookmarkEnd w:id="6"/>
      <w:bookmarkEnd w:id="7"/>
      <w:bookmarkEnd w:id="8"/>
      <w:bookmarkEnd w:id="9"/>
      <w:bookmarkEnd w:id="10"/>
      <w:bookmarkEnd w:id="11"/>
      <w:bookmarkEnd w:id="12"/>
      <w:bookmarkEnd w:id="13"/>
      <w:bookmarkEnd w:id="14"/>
      <w:bookmarkEnd w:id="15"/>
    </w:p>
    <w:p w14:paraId="5AA9B854">
      <w:pPr>
        <w:keepNext w:val="0"/>
        <w:keepLines w:val="0"/>
        <w:kinsoku/>
        <w:wordWrap/>
        <w:overflowPunct/>
        <w:topLinePunct w:val="0"/>
        <w:autoSpaceDE/>
        <w:autoSpaceDN/>
        <w:bidi w:val="0"/>
        <w:adjustRightInd w:val="0"/>
        <w:snapToGrid w:val="0"/>
        <w:spacing w:line="360" w:lineRule="auto"/>
        <w:ind w:firstLine="560" w:firstLineChars="200"/>
        <w:textAlignment w:val="auto"/>
        <w:rPr>
          <w:rFonts w:ascii="宋体"/>
          <w:color w:val="auto"/>
          <w:highlight w:val="none"/>
        </w:rPr>
      </w:pPr>
      <w:r>
        <w:rPr>
          <w:rFonts w:hint="eastAsia" w:ascii="宋体" w:hAnsi="宋体"/>
          <w:color w:val="auto"/>
          <w:sz w:val="28"/>
          <w:szCs w:val="28"/>
          <w:highlight w:val="none"/>
          <w:lang w:eastAsia="zh-CN"/>
        </w:rPr>
        <w:t>泰安鲁润油品销售有限公司</w:t>
      </w:r>
      <w:r>
        <w:rPr>
          <w:rFonts w:hint="eastAsia" w:ascii="宋体" w:hAnsi="宋体"/>
          <w:color w:val="auto"/>
          <w:sz w:val="28"/>
          <w:szCs w:val="28"/>
          <w:highlight w:val="none"/>
        </w:rPr>
        <w:t>位于</w:t>
      </w:r>
      <w:r>
        <w:rPr>
          <w:rFonts w:hint="eastAsia" w:ascii="宋体" w:hAnsi="宋体"/>
          <w:color w:val="auto"/>
          <w:sz w:val="28"/>
          <w:highlight w:val="none"/>
          <w:lang w:eastAsia="zh-CN"/>
        </w:rPr>
        <w:t>泰安市泰山区碧霞大街与明堂路交汇处南100米路西</w:t>
      </w:r>
      <w:r>
        <w:rPr>
          <w:rFonts w:hint="eastAsia" w:ascii="宋体" w:hAnsi="宋体"/>
          <w:color w:val="auto"/>
          <w:sz w:val="28"/>
          <w:szCs w:val="28"/>
          <w:highlight w:val="none"/>
        </w:rPr>
        <w:t>，加油站西侧是明堂河，南侧是空地，</w:t>
      </w:r>
      <w:r>
        <w:rPr>
          <w:rFonts w:hint="eastAsia" w:ascii="宋体" w:hAnsi="宋体"/>
          <w:color w:val="auto"/>
          <w:sz w:val="28"/>
          <w:szCs w:val="28"/>
          <w:highlight w:val="none"/>
          <w:lang w:eastAsia="zh-CN"/>
        </w:rPr>
        <w:t>北侧是宾馆道路、空地</w:t>
      </w:r>
      <w:r>
        <w:rPr>
          <w:rFonts w:hint="eastAsia" w:ascii="宋体" w:hAnsi="宋体"/>
          <w:color w:val="auto"/>
          <w:sz w:val="28"/>
          <w:szCs w:val="28"/>
          <w:highlight w:val="none"/>
        </w:rPr>
        <w:t>，东侧是明堂路</w:t>
      </w:r>
      <w:r>
        <w:rPr>
          <w:rFonts w:hint="eastAsia" w:ascii="宋体" w:hAnsi="宋体" w:cs="宋体"/>
          <w:color w:val="auto"/>
          <w:sz w:val="28"/>
          <w:szCs w:val="28"/>
          <w:highlight w:val="none"/>
        </w:rPr>
        <w:t>。</w:t>
      </w:r>
      <w:r>
        <w:rPr>
          <w:rFonts w:hint="eastAsia" w:ascii="宋体" w:hAnsi="宋体"/>
          <w:color w:val="auto"/>
          <w:sz w:val="28"/>
          <w:highlight w:val="none"/>
        </w:rPr>
        <w:t>该站经营许可范围为</w:t>
      </w:r>
      <w:r>
        <w:rPr>
          <w:rFonts w:hint="eastAsia" w:asciiTheme="minorEastAsia" w:hAnsiTheme="minorEastAsia" w:eastAsiaTheme="minorEastAsia" w:cstheme="minorEastAsia"/>
          <w:color w:val="auto"/>
          <w:sz w:val="28"/>
          <w:szCs w:val="28"/>
          <w:highlight w:val="none"/>
        </w:rPr>
        <w:t>汽油、乙醇汽油</w:t>
      </w:r>
      <w:r>
        <w:rPr>
          <w:rFonts w:hint="eastAsia" w:ascii="宋体" w:hAnsi="宋体"/>
          <w:color w:val="auto"/>
          <w:sz w:val="28"/>
          <w:highlight w:val="none"/>
        </w:rPr>
        <w:t>、柴油，主要经营储存汽油、0#柴油（换季销售-</w:t>
      </w:r>
      <w:r>
        <w:rPr>
          <w:rFonts w:ascii="宋体" w:hAnsi="宋体"/>
          <w:color w:val="auto"/>
          <w:sz w:val="28"/>
          <w:highlight w:val="none"/>
        </w:rPr>
        <w:t>10#</w:t>
      </w:r>
      <w:r>
        <w:rPr>
          <w:rFonts w:hint="eastAsia" w:ascii="宋体" w:hAnsi="宋体"/>
          <w:color w:val="auto"/>
          <w:sz w:val="28"/>
          <w:highlight w:val="none"/>
        </w:rPr>
        <w:t>柴油）</w:t>
      </w:r>
      <w:r>
        <w:rPr>
          <w:rFonts w:hint="eastAsia" w:ascii="宋体" w:hAnsi="宋体"/>
          <w:color w:val="auto"/>
          <w:sz w:val="28"/>
          <w:highlight w:val="none"/>
          <w:lang w:eastAsia="zh-CN"/>
        </w:rPr>
        <w:t>，</w:t>
      </w:r>
      <w:r>
        <w:rPr>
          <w:rFonts w:hint="eastAsia" w:ascii="宋体" w:hAnsi="宋体"/>
          <w:color w:val="auto"/>
          <w:sz w:val="28"/>
          <w:highlight w:val="none"/>
          <w:lang w:val="en-US" w:eastAsia="zh-CN"/>
        </w:rPr>
        <w:t>目前暂未经营</w:t>
      </w:r>
      <w:r>
        <w:rPr>
          <w:rFonts w:hint="eastAsia" w:ascii="宋体" w:hAnsi="宋体"/>
          <w:snapToGrid w:val="0"/>
          <w:color w:val="auto"/>
          <w:kern w:val="0"/>
          <w:sz w:val="28"/>
          <w:highlight w:val="none"/>
        </w:rPr>
        <w:t>。</w:t>
      </w:r>
      <w:r>
        <w:rPr>
          <w:rFonts w:hint="eastAsia" w:ascii="宋体" w:hAnsi="宋体"/>
          <w:color w:val="auto"/>
          <w:sz w:val="28"/>
          <w:highlight w:val="none"/>
        </w:rPr>
        <w:t>此次现状评价报告与上次报告相比，周边环境、站内设备设施、主要建构筑物未发生变化。</w:t>
      </w:r>
    </w:p>
    <w:p w14:paraId="3C1164D4">
      <w:pPr>
        <w:pStyle w:val="17"/>
        <w:widowControl w:val="0"/>
        <w:adjustRightInd w:val="0"/>
        <w:snapToGrid w:val="0"/>
        <w:spacing w:line="360" w:lineRule="auto"/>
        <w:ind w:firstLine="560"/>
        <w:rPr>
          <w:rFonts w:ascii="宋体"/>
          <w:color w:val="auto"/>
          <w:highlight w:val="none"/>
          <w:vertAlign w:val="superscript"/>
        </w:rPr>
      </w:pPr>
      <w:r>
        <w:rPr>
          <w:rFonts w:hint="eastAsia" w:ascii="宋体" w:hAnsi="宋体"/>
          <w:color w:val="auto"/>
          <w:szCs w:val="28"/>
          <w:highlight w:val="none"/>
        </w:rPr>
        <w:t>该加油站主要建有站房、罩棚、油罐区、加油区等。加油区在站房</w:t>
      </w:r>
      <w:r>
        <w:rPr>
          <w:rFonts w:hint="eastAsia" w:ascii="宋体" w:hAnsi="宋体"/>
          <w:color w:val="auto"/>
          <w:szCs w:val="28"/>
          <w:highlight w:val="none"/>
          <w:lang w:val="en-US" w:eastAsia="zh-CN"/>
        </w:rPr>
        <w:t>北</w:t>
      </w:r>
      <w:r>
        <w:rPr>
          <w:rFonts w:hint="eastAsia" w:ascii="宋体" w:hAnsi="宋体"/>
          <w:color w:val="auto"/>
          <w:szCs w:val="28"/>
          <w:highlight w:val="none"/>
        </w:rPr>
        <w:t>侧，</w:t>
      </w:r>
      <w:r>
        <w:rPr>
          <w:rFonts w:hint="eastAsia" w:ascii="宋体" w:hAnsi="宋体"/>
          <w:color w:val="auto"/>
          <w:kern w:val="2"/>
          <w:szCs w:val="21"/>
          <w:highlight w:val="none"/>
        </w:rPr>
        <w:t>现有</w:t>
      </w:r>
      <w:r>
        <w:rPr>
          <w:rFonts w:hint="eastAsia"/>
          <w:color w:val="auto"/>
          <w:highlight w:val="none"/>
          <w:lang w:val="en-US" w:eastAsia="zh-CN"/>
        </w:rPr>
        <w:t>4</w:t>
      </w:r>
      <w:r>
        <w:rPr>
          <w:rFonts w:hint="eastAsia"/>
          <w:color w:val="auto"/>
          <w:highlight w:val="none"/>
        </w:rPr>
        <w:t>台双枪加油机（</w:t>
      </w:r>
      <w:r>
        <w:rPr>
          <w:rFonts w:hint="eastAsia"/>
          <w:color w:val="auto"/>
          <w:highlight w:val="none"/>
          <w:lang w:val="en-US" w:eastAsia="zh-CN"/>
        </w:rPr>
        <w:t>2台</w:t>
      </w:r>
      <w:r>
        <w:rPr>
          <w:rFonts w:hint="eastAsia"/>
          <w:color w:val="auto"/>
          <w:highlight w:val="none"/>
        </w:rPr>
        <w:t>9</w:t>
      </w:r>
      <w:r>
        <w:rPr>
          <w:rFonts w:hint="eastAsia"/>
          <w:color w:val="auto"/>
          <w:highlight w:val="none"/>
          <w:lang w:val="en-US" w:eastAsia="zh-CN"/>
        </w:rPr>
        <w:t>2</w:t>
      </w:r>
      <w:r>
        <w:rPr>
          <w:rFonts w:hint="eastAsia"/>
          <w:color w:val="auto"/>
          <w:highlight w:val="none"/>
        </w:rPr>
        <w:t>#汽油</w:t>
      </w:r>
      <w:r>
        <w:rPr>
          <w:rFonts w:hint="eastAsia"/>
          <w:color w:val="auto"/>
          <w:highlight w:val="none"/>
          <w:lang w:eastAsia="zh-CN"/>
        </w:rPr>
        <w:t>、</w:t>
      </w:r>
      <w:r>
        <w:rPr>
          <w:rFonts w:hint="eastAsia"/>
          <w:color w:val="auto"/>
          <w:highlight w:val="none"/>
          <w:lang w:val="en-US" w:eastAsia="zh-CN"/>
        </w:rPr>
        <w:t>1台</w:t>
      </w:r>
      <w:r>
        <w:rPr>
          <w:rFonts w:hint="eastAsia"/>
          <w:color w:val="auto"/>
          <w:highlight w:val="none"/>
        </w:rPr>
        <w:t>95#汽油</w:t>
      </w:r>
      <w:r>
        <w:rPr>
          <w:rFonts w:hint="eastAsia"/>
          <w:color w:val="auto"/>
          <w:highlight w:val="none"/>
          <w:lang w:eastAsia="zh-CN"/>
        </w:rPr>
        <w:t>、</w:t>
      </w:r>
      <w:r>
        <w:rPr>
          <w:rFonts w:hint="eastAsia"/>
          <w:color w:val="auto"/>
          <w:highlight w:val="none"/>
          <w:lang w:val="en-US" w:eastAsia="zh-CN"/>
        </w:rPr>
        <w:t>1台柴油</w:t>
      </w:r>
      <w:r>
        <w:rPr>
          <w:rFonts w:hint="eastAsia"/>
          <w:color w:val="auto"/>
          <w:highlight w:val="none"/>
        </w:rPr>
        <w:t>）</w:t>
      </w:r>
      <w:r>
        <w:rPr>
          <w:rFonts w:hint="eastAsia" w:ascii="宋体" w:hAnsi="宋体"/>
          <w:color w:val="auto"/>
          <w:kern w:val="2"/>
          <w:szCs w:val="21"/>
          <w:highlight w:val="none"/>
        </w:rPr>
        <w:t>，均为</w:t>
      </w:r>
      <w:r>
        <w:rPr>
          <w:rFonts w:hint="eastAsia" w:ascii="宋体" w:hAnsi="宋体"/>
          <w:color w:val="auto"/>
          <w:kern w:val="2"/>
          <w:szCs w:val="21"/>
          <w:highlight w:val="none"/>
          <w:lang w:eastAsia="zh-CN"/>
        </w:rPr>
        <w:t>自吸</w:t>
      </w:r>
      <w:r>
        <w:rPr>
          <w:rFonts w:hint="eastAsia" w:ascii="宋体" w:hAnsi="宋体"/>
          <w:color w:val="auto"/>
          <w:kern w:val="2"/>
          <w:szCs w:val="21"/>
          <w:highlight w:val="none"/>
        </w:rPr>
        <w:t>式</w:t>
      </w:r>
      <w:r>
        <w:rPr>
          <w:rFonts w:hint="eastAsia" w:ascii="宋体"/>
          <w:color w:val="auto"/>
          <w:highlight w:val="none"/>
        </w:rPr>
        <w:t>；</w:t>
      </w:r>
      <w:r>
        <w:rPr>
          <w:rFonts w:hint="eastAsia" w:ascii="宋体" w:hAnsi="宋体"/>
          <w:color w:val="auto"/>
          <w:szCs w:val="28"/>
          <w:highlight w:val="none"/>
        </w:rPr>
        <w:t>油罐区位于</w:t>
      </w:r>
      <w:r>
        <w:rPr>
          <w:rFonts w:hint="eastAsia" w:ascii="宋体" w:hAnsi="宋体"/>
          <w:color w:val="auto"/>
          <w:szCs w:val="28"/>
          <w:highlight w:val="none"/>
          <w:lang w:val="en-US" w:eastAsia="zh-CN"/>
        </w:rPr>
        <w:t>加油区</w:t>
      </w:r>
      <w:r>
        <w:rPr>
          <w:rFonts w:hint="eastAsia" w:ascii="宋体" w:hAnsi="宋体"/>
          <w:color w:val="auto"/>
          <w:szCs w:val="28"/>
          <w:highlight w:val="none"/>
        </w:rPr>
        <w:t>西侧，</w:t>
      </w:r>
      <w:r>
        <w:rPr>
          <w:rFonts w:hint="eastAsia" w:ascii="宋体"/>
          <w:color w:val="auto"/>
          <w:highlight w:val="none"/>
        </w:rPr>
        <w:t>现有</w:t>
      </w:r>
      <w:r>
        <w:rPr>
          <w:rFonts w:hint="eastAsia"/>
          <w:color w:val="auto"/>
          <w:highlight w:val="none"/>
          <w:lang w:val="en-US" w:eastAsia="zh-CN"/>
        </w:rPr>
        <w:t>3</w:t>
      </w:r>
      <w:r>
        <w:rPr>
          <w:rFonts w:hint="eastAsia"/>
          <w:color w:val="auto"/>
          <w:highlight w:val="none"/>
        </w:rPr>
        <w:t>台双层储罐（</w:t>
      </w:r>
      <w:r>
        <w:rPr>
          <w:rFonts w:hint="eastAsia"/>
          <w:color w:val="auto"/>
          <w:highlight w:val="none"/>
          <w:lang w:val="en-US" w:eastAsia="zh-CN"/>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92#汽油罐、1台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95#汽油罐、1台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柴油罐</w:t>
      </w:r>
      <w:r>
        <w:rPr>
          <w:rFonts w:hint="eastAsia" w:ascii="宋体" w:hAnsi="宋体"/>
          <w:color w:val="auto"/>
          <w:szCs w:val="28"/>
          <w:highlight w:val="none"/>
        </w:rPr>
        <w:t>；</w:t>
      </w:r>
      <w:r>
        <w:rPr>
          <w:rFonts w:hint="eastAsia" w:ascii="宋体" w:hAnsi="宋体"/>
          <w:color w:val="auto"/>
          <w:szCs w:val="28"/>
          <w:highlight w:val="none"/>
          <w:lang w:val="en-US" w:eastAsia="zh-CN"/>
        </w:rPr>
        <w:t>3</w:t>
      </w:r>
      <w:r>
        <w:rPr>
          <w:rFonts w:hint="eastAsia" w:ascii="宋体" w:hAnsi="宋体"/>
          <w:color w:val="auto"/>
          <w:szCs w:val="28"/>
          <w:highlight w:val="none"/>
        </w:rPr>
        <w:t>台油罐均安装了液位仪、检漏仪</w:t>
      </w:r>
      <w:r>
        <w:rPr>
          <w:rFonts w:hint="eastAsia" w:ascii="宋体"/>
          <w:color w:val="auto"/>
          <w:highlight w:val="none"/>
        </w:rPr>
        <w:t>；汽油、柴油卸油口位于</w:t>
      </w:r>
      <w:r>
        <w:rPr>
          <w:rFonts w:hint="eastAsia" w:ascii="宋体"/>
          <w:color w:val="auto"/>
          <w:highlight w:val="none"/>
          <w:lang w:val="en-US" w:eastAsia="zh-CN"/>
        </w:rPr>
        <w:t>罐区东</w:t>
      </w:r>
      <w:r>
        <w:rPr>
          <w:rFonts w:hint="eastAsia" w:ascii="宋体"/>
          <w:color w:val="auto"/>
          <w:highlight w:val="none"/>
        </w:rPr>
        <w:t>侧；</w:t>
      </w:r>
      <w:r>
        <w:rPr>
          <w:rFonts w:hint="eastAsia" w:ascii="宋体" w:hAnsi="宋体"/>
          <w:color w:val="auto"/>
          <w:szCs w:val="28"/>
          <w:highlight w:val="none"/>
        </w:rPr>
        <w:t>通气管</w:t>
      </w:r>
      <w:r>
        <w:rPr>
          <w:rFonts w:hint="eastAsia" w:ascii="宋体" w:hAnsi="宋体"/>
          <w:color w:val="auto"/>
          <w:szCs w:val="28"/>
          <w:highlight w:val="none"/>
          <w:lang w:val="en-US" w:eastAsia="zh-CN"/>
        </w:rPr>
        <w:t>3</w:t>
      </w:r>
      <w:r>
        <w:rPr>
          <w:rFonts w:hint="eastAsia" w:ascii="宋体" w:hAnsi="宋体"/>
          <w:color w:val="auto"/>
          <w:szCs w:val="28"/>
          <w:highlight w:val="none"/>
        </w:rPr>
        <w:t>根位于</w:t>
      </w:r>
      <w:r>
        <w:rPr>
          <w:rFonts w:hint="eastAsia" w:ascii="宋体" w:hAnsi="宋体"/>
          <w:color w:val="auto"/>
          <w:szCs w:val="28"/>
          <w:highlight w:val="none"/>
          <w:lang w:eastAsia="zh-CN"/>
        </w:rPr>
        <w:t>罐区西侧</w:t>
      </w:r>
      <w:r>
        <w:rPr>
          <w:rFonts w:hint="eastAsia" w:ascii="宋体" w:hAnsi="宋体"/>
          <w:color w:val="auto"/>
          <w:szCs w:val="28"/>
          <w:highlight w:val="none"/>
        </w:rPr>
        <w:t>，该站设有三次油气回收系统（卸油油气回收系统、加油油气回收系统、油气回收处理装置）；</w:t>
      </w:r>
      <w:r>
        <w:rPr>
          <w:rFonts w:hint="eastAsia" w:ascii="宋体"/>
          <w:color w:val="auto"/>
          <w:highlight w:val="none"/>
        </w:rPr>
        <w:t>按《汽车加油加气加氢站技术标准》GB50156-2021标准规定：油罐总储量为</w:t>
      </w:r>
      <w:r>
        <w:rPr>
          <w:rFonts w:hint="eastAsia" w:ascii="宋体"/>
          <w:color w:val="auto"/>
          <w:highlight w:val="none"/>
          <w:lang w:val="en-US" w:eastAsia="zh-CN"/>
        </w:rPr>
        <w:t>90</w:t>
      </w:r>
      <w:r>
        <w:rPr>
          <w:rFonts w:hint="eastAsia" w:ascii="宋体"/>
          <w:color w:val="auto"/>
          <w:highlight w:val="none"/>
        </w:rPr>
        <w:t>m³，柴油储罐容积折半计入总容积为</w:t>
      </w:r>
      <w:r>
        <w:rPr>
          <w:rFonts w:hint="eastAsia" w:ascii="宋体"/>
          <w:color w:val="auto"/>
          <w:highlight w:val="none"/>
          <w:lang w:val="en-US" w:eastAsia="zh-CN"/>
        </w:rPr>
        <w:t>75</w:t>
      </w:r>
      <w:r>
        <w:rPr>
          <w:rFonts w:hint="eastAsia" w:ascii="宋体"/>
          <w:color w:val="auto"/>
          <w:highlight w:val="none"/>
        </w:rPr>
        <w:t>m³，该站属三级加油站。</w:t>
      </w:r>
    </w:p>
    <w:p w14:paraId="0255EB97">
      <w:pPr>
        <w:pStyle w:val="19"/>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362CC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353BB9C7">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4F52CA6E">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13606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6E968DFE">
            <w:pPr>
              <w:pStyle w:val="20"/>
              <w:widowControl w:val="0"/>
              <w:adjustRightInd w:val="0"/>
              <w:snapToGrid w:val="0"/>
              <w:spacing w:line="360" w:lineRule="auto"/>
              <w:rPr>
                <w:rFonts w:ascii="宋体" w:hAnsi="宋体"/>
                <w:b/>
                <w:bCs/>
                <w:color w:val="auto"/>
                <w:highlight w:val="none"/>
              </w:rPr>
            </w:pPr>
          </w:p>
        </w:tc>
        <w:tc>
          <w:tcPr>
            <w:tcW w:w="1667" w:type="pct"/>
            <w:vAlign w:val="center"/>
          </w:tcPr>
          <w:p w14:paraId="20D24043">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3CF80EE6">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单罐容积</w:t>
            </w:r>
          </w:p>
        </w:tc>
      </w:tr>
      <w:tr w14:paraId="7D790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7593720A">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348AE6EA">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4FC96D75">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5DACE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654C4E0">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1D118118">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439246A4">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18E58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C675E29">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34943944">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3565AE89">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3866AAD5">
      <w:pPr>
        <w:pStyle w:val="21"/>
        <w:widowControl w:val="0"/>
        <w:adjustRightInd w:val="0"/>
        <w:snapToGrid w:val="0"/>
        <w:spacing w:line="360" w:lineRule="auto"/>
        <w:ind w:firstLine="436"/>
        <w:rPr>
          <w:rFonts w:ascii="黑体" w:hAnsi="黑体" w:cs="黑体"/>
          <w:color w:val="auto"/>
          <w:highlight w:val="none"/>
        </w:rPr>
      </w:pPr>
      <w:r>
        <w:rPr>
          <w:rFonts w:hint="eastAsia" w:ascii="黑体" w:hAnsi="黑体" w:cs="黑体"/>
          <w:color w:val="auto"/>
          <w:highlight w:val="none"/>
        </w:rPr>
        <w:t>注：V为油罐总容积。柴油罐容积可折半计入油罐总容积。</w:t>
      </w:r>
    </w:p>
    <w:p w14:paraId="55B47349">
      <w:pPr>
        <w:adjustRightInd w:val="0"/>
        <w:snapToGrid w:val="0"/>
        <w:spacing w:line="360" w:lineRule="auto"/>
        <w:ind w:firstLine="560" w:firstLineChars="200"/>
        <w:rPr>
          <w:rFonts w:hint="eastAsia" w:ascii="宋体" w:hAnsi="宋体"/>
          <w:color w:val="auto"/>
          <w:sz w:val="28"/>
          <w:highlight w:val="none"/>
        </w:rPr>
      </w:pPr>
      <w:r>
        <w:rPr>
          <w:rFonts w:hint="eastAsia" w:ascii="宋体" w:hAnsi="宋体"/>
          <w:color w:val="auto"/>
          <w:sz w:val="28"/>
          <w:highlight w:val="none"/>
        </w:rPr>
        <w:t>该站现有职工</w:t>
      </w:r>
      <w:r>
        <w:rPr>
          <w:rFonts w:hint="eastAsia" w:ascii="宋体" w:hAnsi="宋体"/>
          <w:color w:val="auto"/>
          <w:sz w:val="28"/>
          <w:highlight w:val="none"/>
          <w:lang w:val="en-US" w:eastAsia="zh-CN"/>
        </w:rPr>
        <w:t>2</w:t>
      </w:r>
      <w:r>
        <w:rPr>
          <w:rFonts w:hint="eastAsia" w:ascii="宋体" w:hAnsi="宋体"/>
          <w:color w:val="auto"/>
          <w:sz w:val="28"/>
          <w:highlight w:val="none"/>
        </w:rPr>
        <w:t>人，其中主要负责人1人，安全生产管理员1人。主要负责人和安全生产管理人员已参加了危险化学品安全管理培训，并取得考核合格证，详见附页。</w:t>
      </w:r>
    </w:p>
    <w:p w14:paraId="7491499E">
      <w:pPr>
        <w:pStyle w:val="17"/>
        <w:widowControl w:val="0"/>
        <w:spacing w:line="360" w:lineRule="auto"/>
        <w:ind w:firstLine="560"/>
        <w:rPr>
          <w:rFonts w:hint="eastAsia" w:ascii="宋体"/>
          <w:color w:val="auto"/>
          <w:highlight w:val="none"/>
        </w:rPr>
      </w:pPr>
      <w:r>
        <w:rPr>
          <w:rFonts w:hint="eastAsia" w:ascii="宋体" w:hAnsi="宋体"/>
          <w:b w:val="0"/>
          <w:bCs w:val="0"/>
          <w:color w:val="auto"/>
          <w:sz w:val="28"/>
          <w:highlight w:val="none"/>
          <w:lang w:val="en-US" w:eastAsia="zh-CN"/>
        </w:rPr>
        <w:t>该站（曾用名</w:t>
      </w:r>
      <w:r>
        <w:rPr>
          <w:rFonts w:hint="eastAsia" w:ascii="宋体" w:hAnsi="宋体"/>
          <w:b w:val="0"/>
          <w:bCs w:val="0"/>
          <w:color w:val="auto"/>
          <w:sz w:val="28"/>
          <w:highlight w:val="none"/>
          <w:lang w:eastAsia="zh-CN"/>
        </w:rPr>
        <w:t>鲁润</w:t>
      </w:r>
      <w:r>
        <w:rPr>
          <w:rFonts w:hint="eastAsia" w:ascii="宋体" w:hAnsi="宋体"/>
          <w:b w:val="0"/>
          <w:bCs w:val="0"/>
          <w:color w:val="auto"/>
          <w:sz w:val="28"/>
          <w:highlight w:val="none"/>
          <w:lang w:val="en-US" w:eastAsia="zh-CN"/>
        </w:rPr>
        <w:t>石化泰安市泰山区石油化工</w:t>
      </w:r>
      <w:r>
        <w:rPr>
          <w:rFonts w:hint="eastAsia" w:ascii="宋体" w:hAnsi="宋体"/>
          <w:b w:val="0"/>
          <w:bCs w:val="0"/>
          <w:color w:val="auto"/>
          <w:sz w:val="28"/>
          <w:highlight w:val="none"/>
          <w:lang w:eastAsia="zh-CN"/>
        </w:rPr>
        <w:t>有限公司）</w:t>
      </w:r>
      <w:r>
        <w:rPr>
          <w:rFonts w:hint="eastAsia" w:ascii="宋体" w:hAnsi="宋体"/>
          <w:b w:val="0"/>
          <w:bCs w:val="0"/>
          <w:color w:val="auto"/>
          <w:sz w:val="28"/>
          <w:highlight w:val="none"/>
        </w:rPr>
        <w:t>于</w:t>
      </w:r>
      <w:r>
        <w:rPr>
          <w:rFonts w:hint="eastAsia" w:ascii="宋体"/>
          <w:color w:val="auto"/>
          <w:highlight w:val="none"/>
        </w:rPr>
        <w:t>2012年7月24日</w:t>
      </w:r>
      <w:r>
        <w:rPr>
          <w:rFonts w:hint="eastAsia" w:ascii="宋体"/>
          <w:color w:val="auto"/>
          <w:highlight w:val="none"/>
          <w:lang w:val="en-US" w:eastAsia="zh-CN"/>
        </w:rPr>
        <w:t>取得了</w:t>
      </w:r>
      <w:r>
        <w:rPr>
          <w:rFonts w:hint="eastAsia" w:ascii="宋体"/>
          <w:color w:val="auto"/>
          <w:highlight w:val="none"/>
        </w:rPr>
        <w:t>泰安市公安消防支队</w:t>
      </w:r>
      <w:r>
        <w:rPr>
          <w:rFonts w:ascii="宋体"/>
          <w:color w:val="auto"/>
          <w:highlight w:val="none"/>
        </w:rPr>
        <w:t>出具</w:t>
      </w:r>
      <w:r>
        <w:rPr>
          <w:rFonts w:hint="eastAsia" w:ascii="宋体"/>
          <w:color w:val="auto"/>
          <w:highlight w:val="none"/>
          <w:lang w:val="en-US" w:eastAsia="zh-CN"/>
        </w:rPr>
        <w:t>的</w:t>
      </w:r>
      <w:r>
        <w:rPr>
          <w:rFonts w:hint="eastAsia" w:ascii="宋体"/>
          <w:color w:val="auto"/>
          <w:highlight w:val="none"/>
        </w:rPr>
        <w:t>《建设工程消防验收意见书》，编号</w:t>
      </w:r>
      <w:r>
        <w:rPr>
          <w:rFonts w:hint="eastAsia" w:ascii="宋体"/>
          <w:color w:val="auto"/>
          <w:highlight w:val="none"/>
          <w:lang w:eastAsia="zh-CN"/>
        </w:rPr>
        <w:t>：</w:t>
      </w:r>
      <w:r>
        <w:rPr>
          <w:rFonts w:hint="eastAsia" w:ascii="宋体"/>
          <w:color w:val="auto"/>
          <w:highlight w:val="none"/>
        </w:rPr>
        <w:t>泰公消验[2012]第0040号，结论为“综合评定该建设工程消防验收合格”。详见附件。</w:t>
      </w:r>
    </w:p>
    <w:p w14:paraId="06B7A36C">
      <w:pPr>
        <w:adjustRightInd w:val="0"/>
        <w:snapToGrid w:val="0"/>
        <w:spacing w:line="360" w:lineRule="auto"/>
        <w:ind w:firstLine="560" w:firstLineChars="200"/>
        <w:rPr>
          <w:rFonts w:hint="eastAsia" w:ascii="宋体" w:hAnsi="Times New Roman" w:eastAsia="宋体" w:cs="Times New Roman"/>
          <w:color w:val="auto"/>
          <w:kern w:val="0"/>
          <w:sz w:val="28"/>
          <w:szCs w:val="20"/>
          <w:highlight w:val="none"/>
          <w:lang w:val="en-US" w:eastAsia="zh-CN" w:bidi="ar-SA"/>
        </w:rPr>
      </w:pPr>
      <w:r>
        <w:rPr>
          <w:rFonts w:hint="eastAsia" w:ascii="宋体" w:hAnsi="Times New Roman" w:eastAsia="宋体" w:cs="Times New Roman"/>
          <w:color w:val="auto"/>
          <w:kern w:val="0"/>
          <w:sz w:val="28"/>
          <w:szCs w:val="20"/>
          <w:highlight w:val="none"/>
          <w:lang w:val="en-US" w:eastAsia="zh-CN" w:bidi="ar-SA"/>
        </w:rPr>
        <w:t>泰安鲁润油品销售有限公司于2016年1月1日与鲁润石化有限公司签定了《土地租赁合同》，土地使用年限10年，有效期至2026年1月1日，详见附件。</w:t>
      </w:r>
    </w:p>
    <w:p w14:paraId="4B1E1DB5">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highlight w:val="none"/>
        </w:rPr>
      </w:pPr>
      <w:r>
        <w:rPr>
          <w:rFonts w:hint="eastAsia" w:ascii="宋体"/>
          <w:color w:val="auto"/>
          <w:highlight w:val="none"/>
        </w:rPr>
        <w:t>该站未取得《成品油零售经营批准证书》，暂未经营。</w:t>
      </w:r>
    </w:p>
    <w:p w14:paraId="1AFE7344">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highlight w:val="none"/>
        </w:rPr>
      </w:pPr>
      <w:r>
        <w:rPr>
          <w:rFonts w:hint="eastAsia" w:ascii="宋体"/>
          <w:color w:val="auto"/>
          <w:highlight w:val="none"/>
        </w:rPr>
        <w:t>加油站于</w:t>
      </w:r>
      <w:r>
        <w:rPr>
          <w:rFonts w:ascii="宋体"/>
          <w:color w:val="auto"/>
          <w:highlight w:val="none"/>
        </w:rPr>
        <w:t>20</w:t>
      </w:r>
      <w:r>
        <w:rPr>
          <w:rFonts w:hint="eastAsia" w:ascii="宋体"/>
          <w:color w:val="auto"/>
          <w:highlight w:val="none"/>
        </w:rPr>
        <w:t>22年</w:t>
      </w:r>
      <w:r>
        <w:rPr>
          <w:rFonts w:hint="eastAsia" w:ascii="宋体"/>
          <w:color w:val="auto"/>
          <w:highlight w:val="none"/>
          <w:lang w:val="en-US" w:eastAsia="zh-CN"/>
        </w:rPr>
        <w:t>9</w:t>
      </w:r>
      <w:r>
        <w:rPr>
          <w:rFonts w:hint="eastAsia" w:ascii="宋体"/>
          <w:color w:val="auto"/>
          <w:highlight w:val="none"/>
        </w:rPr>
        <w:t>月</w:t>
      </w:r>
      <w:r>
        <w:rPr>
          <w:rFonts w:hint="eastAsia" w:ascii="宋体"/>
          <w:color w:val="auto"/>
          <w:highlight w:val="none"/>
          <w:lang w:val="en-US" w:eastAsia="zh-CN"/>
        </w:rPr>
        <w:t>14</w:t>
      </w:r>
      <w:r>
        <w:rPr>
          <w:rFonts w:hint="eastAsia" w:ascii="宋体"/>
          <w:color w:val="auto"/>
          <w:highlight w:val="none"/>
        </w:rPr>
        <w:t>日换发了《危险化学品经营许可证》，证书编号：鲁泰危化经[2022]000</w:t>
      </w:r>
      <w:r>
        <w:rPr>
          <w:rFonts w:hint="eastAsia" w:ascii="宋体"/>
          <w:color w:val="auto"/>
          <w:highlight w:val="none"/>
          <w:lang w:val="en-US" w:eastAsia="zh-CN"/>
        </w:rPr>
        <w:t>010</w:t>
      </w:r>
      <w:r>
        <w:rPr>
          <w:rFonts w:hint="eastAsia" w:ascii="宋体"/>
          <w:color w:val="auto"/>
          <w:highlight w:val="none"/>
        </w:rPr>
        <w:t>号，证书有效期至2025年</w:t>
      </w:r>
      <w:r>
        <w:rPr>
          <w:rFonts w:hint="eastAsia" w:ascii="宋体"/>
          <w:color w:val="auto"/>
          <w:highlight w:val="none"/>
          <w:lang w:val="en-US" w:eastAsia="zh-CN"/>
        </w:rPr>
        <w:t>9</w:t>
      </w:r>
      <w:r>
        <w:rPr>
          <w:rFonts w:hint="eastAsia" w:ascii="宋体"/>
          <w:color w:val="auto"/>
          <w:highlight w:val="none"/>
        </w:rPr>
        <w:t>月2</w:t>
      </w:r>
      <w:r>
        <w:rPr>
          <w:rFonts w:hint="eastAsia" w:ascii="宋体"/>
          <w:color w:val="auto"/>
          <w:highlight w:val="none"/>
          <w:lang w:val="en-US" w:eastAsia="zh-CN"/>
        </w:rPr>
        <w:t>1</w:t>
      </w:r>
      <w:r>
        <w:rPr>
          <w:rFonts w:hint="eastAsia" w:ascii="宋体"/>
          <w:color w:val="auto"/>
          <w:highlight w:val="none"/>
        </w:rPr>
        <w:t>日，证书见附件。</w:t>
      </w:r>
    </w:p>
    <w:p w14:paraId="2E98BEBD">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该站在中国人民财产保险股份有限公司泰安市分公司投保安全生产责任保险，保险期限202</w:t>
      </w:r>
      <w:r>
        <w:rPr>
          <w:rFonts w:hint="eastAsia" w:ascii="宋体"/>
          <w:color w:val="auto"/>
          <w:highlight w:val="none"/>
          <w:lang w:val="en-US" w:eastAsia="zh-CN"/>
        </w:rPr>
        <w:t>5</w:t>
      </w:r>
      <w:r>
        <w:rPr>
          <w:rFonts w:hint="eastAsia" w:ascii="宋体"/>
          <w:color w:val="auto"/>
          <w:highlight w:val="none"/>
        </w:rPr>
        <w:t>年0</w:t>
      </w:r>
      <w:r>
        <w:rPr>
          <w:rFonts w:hint="eastAsia" w:ascii="宋体"/>
          <w:color w:val="auto"/>
          <w:highlight w:val="none"/>
          <w:lang w:val="en-US" w:eastAsia="zh-CN"/>
        </w:rPr>
        <w:t>1</w:t>
      </w:r>
      <w:r>
        <w:rPr>
          <w:rFonts w:hint="eastAsia" w:ascii="宋体"/>
          <w:color w:val="auto"/>
          <w:highlight w:val="none"/>
        </w:rPr>
        <w:t>月</w:t>
      </w:r>
      <w:r>
        <w:rPr>
          <w:rFonts w:hint="eastAsia" w:ascii="宋体"/>
          <w:color w:val="auto"/>
          <w:highlight w:val="none"/>
          <w:lang w:val="en-US" w:eastAsia="zh-CN"/>
        </w:rPr>
        <w:t>14</w:t>
      </w:r>
      <w:r>
        <w:rPr>
          <w:rFonts w:hint="eastAsia" w:ascii="宋体"/>
          <w:color w:val="auto"/>
          <w:highlight w:val="none"/>
        </w:rPr>
        <w:t>日至202</w:t>
      </w:r>
      <w:r>
        <w:rPr>
          <w:rFonts w:hint="eastAsia" w:ascii="宋体"/>
          <w:color w:val="auto"/>
          <w:highlight w:val="none"/>
          <w:lang w:val="en-US" w:eastAsia="zh-CN"/>
        </w:rPr>
        <w:t>6</w:t>
      </w:r>
      <w:r>
        <w:rPr>
          <w:rFonts w:hint="eastAsia" w:ascii="宋体"/>
          <w:color w:val="auto"/>
          <w:highlight w:val="none"/>
        </w:rPr>
        <w:t>年0</w:t>
      </w:r>
      <w:r>
        <w:rPr>
          <w:rFonts w:hint="eastAsia" w:ascii="宋体"/>
          <w:color w:val="auto"/>
          <w:highlight w:val="none"/>
          <w:lang w:val="en-US" w:eastAsia="zh-CN"/>
        </w:rPr>
        <w:t>1</w:t>
      </w:r>
      <w:r>
        <w:rPr>
          <w:rFonts w:hint="eastAsia" w:ascii="宋体"/>
          <w:color w:val="auto"/>
          <w:highlight w:val="none"/>
        </w:rPr>
        <w:t>月</w:t>
      </w:r>
      <w:r>
        <w:rPr>
          <w:rFonts w:hint="eastAsia" w:ascii="宋体"/>
          <w:color w:val="auto"/>
          <w:highlight w:val="none"/>
          <w:lang w:val="en-US" w:eastAsia="zh-CN"/>
        </w:rPr>
        <w:t>13</w:t>
      </w:r>
      <w:r>
        <w:rPr>
          <w:rFonts w:hint="eastAsia" w:ascii="宋体"/>
          <w:color w:val="auto"/>
          <w:highlight w:val="none"/>
        </w:rPr>
        <w:t>日，详见附件。</w:t>
      </w:r>
    </w:p>
    <w:p w14:paraId="34DA13A1">
      <w:pPr>
        <w:adjustRightInd w:val="0"/>
        <w:snapToGrid w:val="0"/>
        <w:spacing w:line="360" w:lineRule="auto"/>
        <w:ind w:firstLine="560" w:firstLineChars="200"/>
        <w:rPr>
          <w:rFonts w:ascii="宋体" w:hAnsi="宋体"/>
          <w:color w:val="auto"/>
          <w:sz w:val="28"/>
          <w:highlight w:val="none"/>
        </w:rPr>
      </w:pPr>
      <w:r>
        <w:rPr>
          <w:rFonts w:hint="eastAsia" w:ascii="宋体" w:hAnsi="宋体"/>
          <w:color w:val="auto"/>
          <w:sz w:val="28"/>
          <w:highlight w:val="none"/>
        </w:rPr>
        <w:t>该站编制了生产安全事故应急预案，于2025年</w:t>
      </w:r>
      <w:r>
        <w:rPr>
          <w:rFonts w:hint="eastAsia" w:ascii="宋体" w:hAnsi="宋体"/>
          <w:color w:val="auto"/>
          <w:sz w:val="28"/>
          <w:highlight w:val="none"/>
          <w:lang w:val="en-US" w:eastAsia="zh-CN"/>
        </w:rPr>
        <w:t>7</w:t>
      </w:r>
      <w:r>
        <w:rPr>
          <w:rFonts w:hint="eastAsia" w:ascii="宋体" w:hAnsi="宋体"/>
          <w:color w:val="auto"/>
          <w:sz w:val="28"/>
          <w:highlight w:val="none"/>
        </w:rPr>
        <w:t>月</w:t>
      </w:r>
      <w:r>
        <w:rPr>
          <w:rFonts w:hint="eastAsia" w:ascii="宋体" w:hAnsi="宋体"/>
          <w:color w:val="auto"/>
          <w:sz w:val="28"/>
          <w:highlight w:val="none"/>
          <w:lang w:val="en-US" w:eastAsia="zh-CN"/>
        </w:rPr>
        <w:t>18</w:t>
      </w:r>
      <w:r>
        <w:rPr>
          <w:rFonts w:hint="eastAsia" w:ascii="宋体" w:hAnsi="宋体"/>
          <w:color w:val="auto"/>
          <w:sz w:val="28"/>
          <w:highlight w:val="none"/>
        </w:rPr>
        <w:t>日在泰安市</w:t>
      </w:r>
      <w:r>
        <w:rPr>
          <w:rFonts w:hint="eastAsia" w:ascii="宋体" w:hAnsi="宋体"/>
          <w:color w:val="auto"/>
          <w:sz w:val="28"/>
          <w:highlight w:val="none"/>
          <w:lang w:val="en-US" w:eastAsia="zh-CN"/>
        </w:rPr>
        <w:t>泰山区</w:t>
      </w:r>
      <w:r>
        <w:rPr>
          <w:rFonts w:hint="eastAsia" w:ascii="宋体" w:hAnsi="宋体"/>
          <w:color w:val="auto"/>
          <w:sz w:val="28"/>
          <w:highlight w:val="none"/>
        </w:rPr>
        <w:t>应急管理局进行了备案，备案编号为：3709</w:t>
      </w:r>
      <w:r>
        <w:rPr>
          <w:rFonts w:hint="eastAsia" w:ascii="宋体" w:hAnsi="宋体"/>
          <w:color w:val="auto"/>
          <w:sz w:val="28"/>
          <w:highlight w:val="none"/>
          <w:lang w:val="en-US" w:eastAsia="zh-CN"/>
        </w:rPr>
        <w:t>02-2025-022</w:t>
      </w:r>
      <w:r>
        <w:rPr>
          <w:rFonts w:hint="eastAsia" w:ascii="宋体" w:hAnsi="宋体"/>
          <w:color w:val="auto"/>
          <w:sz w:val="28"/>
          <w:highlight w:val="none"/>
        </w:rPr>
        <w:t>，详见附件。</w:t>
      </w:r>
    </w:p>
    <w:p w14:paraId="2D2FDF75">
      <w:pPr>
        <w:adjustRightInd w:val="0"/>
        <w:snapToGrid w:val="0"/>
        <w:spacing w:line="360" w:lineRule="auto"/>
        <w:ind w:firstLine="560" w:firstLineChars="200"/>
        <w:rPr>
          <w:rFonts w:ascii="宋体" w:hAnsi="宋体"/>
          <w:color w:val="auto"/>
          <w:sz w:val="28"/>
          <w:highlight w:val="none"/>
        </w:rPr>
      </w:pPr>
      <w:r>
        <w:rPr>
          <w:rFonts w:hint="eastAsia" w:ascii="宋体" w:hAnsi="宋体"/>
          <w:color w:val="auto"/>
          <w:sz w:val="28"/>
          <w:highlight w:val="none"/>
        </w:rPr>
        <w:t>山东</w:t>
      </w:r>
      <w:r>
        <w:rPr>
          <w:rFonts w:hint="eastAsia" w:ascii="宋体" w:hAnsi="宋体"/>
          <w:color w:val="auto"/>
          <w:sz w:val="28"/>
          <w:highlight w:val="none"/>
          <w:lang w:val="en-US" w:eastAsia="zh-CN"/>
        </w:rPr>
        <w:t>泰吉检测技术</w:t>
      </w:r>
      <w:r>
        <w:rPr>
          <w:rFonts w:hint="eastAsia" w:ascii="宋体" w:hAnsi="宋体"/>
          <w:color w:val="auto"/>
          <w:sz w:val="28"/>
          <w:highlight w:val="none"/>
        </w:rPr>
        <w:t>有限公司对该站进行了相关防雷设施的检测，出具了合格的《雷电防护装置定期检测报告》，报告编号：（1122</w:t>
      </w:r>
      <w:r>
        <w:rPr>
          <w:rFonts w:hint="eastAsia" w:ascii="宋体" w:hAnsi="宋体"/>
          <w:color w:val="auto"/>
          <w:sz w:val="28"/>
          <w:highlight w:val="none"/>
          <w:lang w:val="en-US" w:eastAsia="zh-CN"/>
        </w:rPr>
        <w:t>024001</w:t>
      </w:r>
      <w:r>
        <w:rPr>
          <w:rFonts w:hint="eastAsia" w:ascii="宋体" w:hAnsi="宋体"/>
          <w:color w:val="auto"/>
          <w:sz w:val="28"/>
          <w:highlight w:val="none"/>
        </w:rPr>
        <w:t>）[2025]D</w:t>
      </w:r>
      <w:r>
        <w:rPr>
          <w:rFonts w:hint="eastAsia" w:ascii="宋体" w:hAnsi="宋体"/>
          <w:color w:val="auto"/>
          <w:sz w:val="28"/>
          <w:highlight w:val="none"/>
          <w:lang w:val="en-US" w:eastAsia="zh-CN"/>
        </w:rPr>
        <w:t>016</w:t>
      </w:r>
      <w:r>
        <w:rPr>
          <w:rFonts w:hint="eastAsia" w:ascii="宋体" w:hAnsi="宋体"/>
          <w:color w:val="auto"/>
          <w:sz w:val="28"/>
          <w:highlight w:val="none"/>
        </w:rPr>
        <w:t>号，防雷类别：二类，结论为“合格：</w:t>
      </w:r>
      <w:r>
        <w:rPr>
          <w:rFonts w:hint="eastAsia" w:ascii="宋体" w:hAnsi="宋体"/>
          <w:color w:val="auto"/>
          <w:sz w:val="28"/>
          <w:highlight w:val="none"/>
          <w:lang w:val="en-US" w:eastAsia="zh-CN"/>
        </w:rPr>
        <w:t>建筑物防雷</w:t>
      </w:r>
      <w:r>
        <w:rPr>
          <w:rFonts w:hint="eastAsia" w:ascii="宋体" w:hAnsi="宋体"/>
          <w:color w:val="auto"/>
          <w:sz w:val="28"/>
          <w:highlight w:val="none"/>
        </w:rPr>
        <w:t>装置符合现行国家防雷规范标准要求”，有效期至2025年1</w:t>
      </w:r>
      <w:r>
        <w:rPr>
          <w:rFonts w:hint="eastAsia" w:ascii="宋体" w:hAnsi="宋体"/>
          <w:color w:val="auto"/>
          <w:sz w:val="28"/>
          <w:highlight w:val="none"/>
          <w:lang w:val="en-US" w:eastAsia="zh-CN"/>
        </w:rPr>
        <w:t>0</w:t>
      </w:r>
      <w:r>
        <w:rPr>
          <w:rFonts w:hint="eastAsia" w:ascii="宋体" w:hAnsi="宋体"/>
          <w:color w:val="auto"/>
          <w:sz w:val="28"/>
          <w:highlight w:val="none"/>
        </w:rPr>
        <w:t>月1</w:t>
      </w:r>
      <w:r>
        <w:rPr>
          <w:rFonts w:hint="eastAsia" w:ascii="宋体" w:hAnsi="宋体"/>
          <w:color w:val="auto"/>
          <w:sz w:val="28"/>
          <w:highlight w:val="none"/>
          <w:lang w:val="en-US" w:eastAsia="zh-CN"/>
        </w:rPr>
        <w:t>8</w:t>
      </w:r>
      <w:r>
        <w:rPr>
          <w:rFonts w:hint="eastAsia" w:ascii="宋体" w:hAnsi="宋体"/>
          <w:color w:val="auto"/>
          <w:sz w:val="28"/>
          <w:highlight w:val="none"/>
        </w:rPr>
        <w:t>日，检测报告见附件。</w:t>
      </w:r>
    </w:p>
    <w:p w14:paraId="209C486C">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26932490">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该站各项安全管理制度健全，有生产经营单位生产事故应急预案，并定期进行应急救援演练。该加油站消防器材配备齐全，加油站配备了35kg推车式干粉灭火器2具，8kg手提式干粉灭火器</w:t>
      </w:r>
      <w:r>
        <w:rPr>
          <w:rFonts w:hint="eastAsia" w:ascii="宋体"/>
          <w:color w:val="auto"/>
          <w:highlight w:val="none"/>
          <w:lang w:val="en-US" w:eastAsia="zh-CN"/>
        </w:rPr>
        <w:t>8</w:t>
      </w:r>
      <w:r>
        <w:rPr>
          <w:rFonts w:hint="eastAsia" w:ascii="宋体"/>
          <w:color w:val="auto"/>
          <w:highlight w:val="none"/>
        </w:rPr>
        <w:t>具，</w:t>
      </w:r>
      <w:r>
        <w:rPr>
          <w:rFonts w:hint="eastAsia" w:ascii="宋体"/>
          <w:color w:val="auto"/>
          <w:highlight w:val="none"/>
          <w:lang w:val="en-US" w:eastAsia="zh-CN"/>
        </w:rPr>
        <w:t>二氧化碳灭火器2具，</w:t>
      </w:r>
      <w:r>
        <w:rPr>
          <w:rFonts w:hint="eastAsia" w:ascii="宋体"/>
          <w:color w:val="auto"/>
          <w:highlight w:val="none"/>
        </w:rPr>
        <w:t>灭火毯</w:t>
      </w:r>
      <w:r>
        <w:rPr>
          <w:rFonts w:hint="eastAsia" w:ascii="宋体"/>
          <w:color w:val="auto"/>
          <w:highlight w:val="none"/>
          <w:lang w:val="en-US" w:eastAsia="zh-CN"/>
        </w:rPr>
        <w:t>6</w:t>
      </w:r>
      <w:r>
        <w:rPr>
          <w:rFonts w:hint="eastAsia" w:ascii="宋体"/>
          <w:color w:val="auto"/>
          <w:highlight w:val="none"/>
        </w:rPr>
        <w:t>块，消防锨2把，消防桶2个，消防沙池2m</w:t>
      </w:r>
      <w:r>
        <w:rPr>
          <w:rFonts w:hint="eastAsia" w:ascii="宋体"/>
          <w:color w:val="auto"/>
          <w:highlight w:val="none"/>
          <w:vertAlign w:val="superscript"/>
        </w:rPr>
        <w:t>3</w:t>
      </w:r>
      <w:r>
        <w:rPr>
          <w:rFonts w:hint="eastAsia" w:ascii="宋体"/>
          <w:color w:val="auto"/>
          <w:highlight w:val="none"/>
        </w:rPr>
        <w:t>。</w:t>
      </w:r>
    </w:p>
    <w:p w14:paraId="1033DE9C">
      <w:pPr>
        <w:pStyle w:val="18"/>
        <w:spacing w:before="312" w:after="312"/>
        <w:rPr>
          <w:color w:val="auto"/>
        </w:rPr>
      </w:pPr>
      <w:r>
        <w:rPr>
          <w:rFonts w:hint="eastAsia"/>
          <w:color w:val="auto"/>
        </w:rPr>
        <w:t>第四章 评价单元划分与评价方法选择</w:t>
      </w:r>
    </w:p>
    <w:p w14:paraId="30EFAFE2">
      <w:pPr>
        <w:pStyle w:val="3"/>
        <w:spacing w:before="312" w:beforeLines="100" w:after="312" w:afterLines="100" w:line="360" w:lineRule="auto"/>
        <w:ind w:firstLine="0"/>
        <w:rPr>
          <w:color w:val="auto"/>
        </w:rPr>
      </w:pPr>
      <w:bookmarkStart w:id="16" w:name="_Toc102634407"/>
      <w:bookmarkStart w:id="17" w:name="_Toc102633981"/>
      <w:bookmarkStart w:id="18" w:name="_Toc15033754"/>
      <w:bookmarkStart w:id="19" w:name="_Toc7829"/>
      <w:bookmarkStart w:id="20" w:name="_Toc12643"/>
      <w:bookmarkStart w:id="21" w:name="_Toc238007574"/>
      <w:bookmarkStart w:id="22" w:name="_Toc102634256"/>
      <w:bookmarkStart w:id="23" w:name="_Toc198026273"/>
      <w:bookmarkStart w:id="24" w:name="_Toc192907201"/>
      <w:bookmarkStart w:id="25" w:name="_Toc23543"/>
      <w:bookmarkStart w:id="26" w:name="_Toc102633907"/>
      <w:bookmarkStart w:id="27" w:name="_Toc272364536"/>
      <w:r>
        <w:rPr>
          <w:rFonts w:hint="eastAsia"/>
          <w:color w:val="auto"/>
        </w:rPr>
        <w:t>第一节 评价单元的划分</w:t>
      </w:r>
      <w:bookmarkEnd w:id="16"/>
      <w:bookmarkEnd w:id="17"/>
      <w:bookmarkEnd w:id="18"/>
      <w:bookmarkEnd w:id="19"/>
      <w:bookmarkEnd w:id="20"/>
      <w:bookmarkEnd w:id="21"/>
      <w:bookmarkEnd w:id="22"/>
      <w:bookmarkEnd w:id="23"/>
      <w:bookmarkEnd w:id="24"/>
      <w:bookmarkEnd w:id="25"/>
      <w:bookmarkEnd w:id="26"/>
      <w:bookmarkEnd w:id="27"/>
    </w:p>
    <w:p w14:paraId="763B4731">
      <w:pPr>
        <w:pStyle w:val="17"/>
        <w:widowControl w:val="0"/>
        <w:adjustRightInd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B2717B0">
      <w:pPr>
        <w:pStyle w:val="22"/>
        <w:widowControl w:val="0"/>
        <w:adjustRightInd w:val="0"/>
        <w:snapToGrid w:val="0"/>
        <w:spacing w:line="360" w:lineRule="auto"/>
        <w:ind w:firstLine="560"/>
        <w:jc w:val="both"/>
        <w:rPr>
          <w:color w:val="auto"/>
        </w:rPr>
      </w:pPr>
      <w:bookmarkStart w:id="28" w:name="_Toc102634257"/>
      <w:r>
        <w:rPr>
          <w:rFonts w:hint="eastAsia"/>
          <w:color w:val="auto"/>
        </w:rPr>
        <w:t>一</w:t>
      </w:r>
      <w:r>
        <w:rPr>
          <w:color w:val="auto"/>
        </w:rPr>
        <w:t>、以危险有害因素的类别为主划分评价单元</w:t>
      </w:r>
      <w:bookmarkEnd w:id="28"/>
    </w:p>
    <w:p w14:paraId="05C4A291">
      <w:pPr>
        <w:pStyle w:val="17"/>
        <w:widowControl w:val="0"/>
        <w:adjustRightInd w:val="0"/>
        <w:snapToGrid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639D502B">
      <w:pPr>
        <w:pStyle w:val="17"/>
        <w:widowControl w:val="0"/>
        <w:adjustRightInd w:val="0"/>
        <w:snapToGrid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5196401">
      <w:pPr>
        <w:pStyle w:val="22"/>
        <w:widowControl w:val="0"/>
        <w:adjustRightInd w:val="0"/>
        <w:snapToGrid w:val="0"/>
        <w:spacing w:line="360" w:lineRule="auto"/>
        <w:ind w:firstLine="560"/>
        <w:jc w:val="both"/>
        <w:rPr>
          <w:color w:val="auto"/>
        </w:rPr>
      </w:pPr>
      <w:bookmarkStart w:id="29" w:name="_Toc102634258"/>
      <w:r>
        <w:rPr>
          <w:rFonts w:hint="eastAsia"/>
          <w:color w:val="auto"/>
        </w:rPr>
        <w:t>二</w:t>
      </w:r>
      <w:r>
        <w:rPr>
          <w:color w:val="auto"/>
        </w:rPr>
        <w:t>、以物质特征划分评价单元</w:t>
      </w:r>
      <w:bookmarkEnd w:id="29"/>
    </w:p>
    <w:p w14:paraId="5A1E40CB">
      <w:pPr>
        <w:pStyle w:val="17"/>
        <w:widowControl w:val="0"/>
        <w:adjustRightInd w:val="0"/>
        <w:snapToGrid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55A8A20F">
      <w:pPr>
        <w:pStyle w:val="17"/>
        <w:widowControl w:val="0"/>
        <w:adjustRightInd w:val="0"/>
        <w:snapToGrid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415DEC05">
      <w:pPr>
        <w:pStyle w:val="17"/>
        <w:widowControl w:val="0"/>
        <w:adjustRightInd w:val="0"/>
        <w:snapToGrid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rPr>
        <w:t>四</w:t>
      </w:r>
      <w:r>
        <w:rPr>
          <w:rFonts w:ascii="宋体"/>
          <w:color w:val="auto"/>
        </w:rPr>
        <w:t>个单元：</w:t>
      </w:r>
    </w:p>
    <w:p w14:paraId="4B345C19">
      <w:pPr>
        <w:pStyle w:val="17"/>
        <w:widowControl w:val="0"/>
        <w:adjustRightInd w:val="0"/>
        <w:snapToGrid w:val="0"/>
        <w:spacing w:line="360" w:lineRule="auto"/>
        <w:ind w:firstLine="560"/>
        <w:rPr>
          <w:rFonts w:ascii="宋体"/>
          <w:color w:val="auto"/>
        </w:rPr>
      </w:pPr>
      <w:r>
        <w:rPr>
          <w:rFonts w:ascii="宋体"/>
          <w:color w:val="auto"/>
        </w:rPr>
        <w:t>1、安全管理；</w:t>
      </w:r>
    </w:p>
    <w:p w14:paraId="32BE1495">
      <w:pPr>
        <w:pStyle w:val="17"/>
        <w:widowControl w:val="0"/>
        <w:adjustRightInd w:val="0"/>
        <w:snapToGrid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41286861">
      <w:pPr>
        <w:pStyle w:val="17"/>
        <w:widowControl w:val="0"/>
        <w:adjustRightInd w:val="0"/>
        <w:snapToGrid w:val="0"/>
        <w:spacing w:line="360" w:lineRule="auto"/>
        <w:ind w:firstLine="560"/>
        <w:rPr>
          <w:rFonts w:ascii="宋体"/>
          <w:color w:val="auto"/>
        </w:rPr>
      </w:pPr>
      <w:r>
        <w:rPr>
          <w:rFonts w:ascii="宋体"/>
          <w:color w:val="auto"/>
        </w:rPr>
        <w:t>3、加油工艺及设施；</w:t>
      </w:r>
    </w:p>
    <w:p w14:paraId="46391952">
      <w:pPr>
        <w:pStyle w:val="17"/>
        <w:widowControl w:val="0"/>
        <w:adjustRightInd w:val="0"/>
        <w:snapToGrid w:val="0"/>
        <w:spacing w:line="360" w:lineRule="auto"/>
        <w:ind w:firstLine="560"/>
        <w:rPr>
          <w:rFonts w:ascii="宋体"/>
          <w:color w:val="auto"/>
        </w:rPr>
      </w:pPr>
      <w:r>
        <w:rPr>
          <w:rFonts w:ascii="宋体"/>
          <w:color w:val="auto"/>
        </w:rPr>
        <w:t>4、其它安全设施</w:t>
      </w:r>
    </w:p>
    <w:p w14:paraId="5DA9EF16">
      <w:pPr>
        <w:pStyle w:val="3"/>
        <w:spacing w:before="312" w:beforeLines="100" w:after="312" w:afterLines="100" w:line="360" w:lineRule="auto"/>
        <w:ind w:firstLine="0"/>
        <w:rPr>
          <w:rFonts w:hint="eastAsia"/>
          <w:color w:val="auto"/>
        </w:rPr>
      </w:pPr>
      <w:bookmarkStart w:id="30" w:name="_Toc102634408"/>
      <w:bookmarkStart w:id="31" w:name="_Toc102633982"/>
      <w:bookmarkStart w:id="32" w:name="_Toc102633908"/>
      <w:bookmarkStart w:id="33" w:name="_Toc22810"/>
      <w:bookmarkStart w:id="34" w:name="_Toc102634259"/>
    </w:p>
    <w:p w14:paraId="178D2E97">
      <w:pPr>
        <w:pStyle w:val="3"/>
        <w:spacing w:before="312" w:beforeLines="100" w:after="312" w:afterLines="100" w:line="360" w:lineRule="auto"/>
        <w:ind w:firstLine="0"/>
        <w:rPr>
          <w:color w:val="auto"/>
        </w:rPr>
      </w:pPr>
      <w:r>
        <w:rPr>
          <w:rFonts w:hint="eastAsia"/>
          <w:color w:val="auto"/>
        </w:rPr>
        <w:t>第二节 评价方法的选择</w:t>
      </w:r>
      <w:bookmarkEnd w:id="30"/>
      <w:bookmarkEnd w:id="31"/>
      <w:bookmarkEnd w:id="32"/>
      <w:bookmarkEnd w:id="33"/>
      <w:bookmarkEnd w:id="34"/>
    </w:p>
    <w:p w14:paraId="1E411B7E">
      <w:pPr>
        <w:pStyle w:val="17"/>
        <w:widowControl w:val="0"/>
        <w:adjustRightInd w:val="0"/>
        <w:snapToGrid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42C872EF">
      <w:pPr>
        <w:pStyle w:val="17"/>
        <w:widowControl w:val="0"/>
        <w:adjustRightInd w:val="0"/>
        <w:snapToGrid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1EEE2394">
      <w:pPr>
        <w:pStyle w:val="17"/>
        <w:widowControl w:val="0"/>
        <w:adjustRightInd w:val="0"/>
        <w:snapToGrid w:val="0"/>
        <w:spacing w:line="360" w:lineRule="auto"/>
        <w:ind w:firstLine="560"/>
        <w:rPr>
          <w:rFonts w:ascii="宋体"/>
          <w:color w:val="auto"/>
        </w:rPr>
      </w:pPr>
      <w:r>
        <w:rPr>
          <w:rFonts w:ascii="宋体"/>
          <w:color w:val="auto"/>
        </w:rPr>
        <w:t>根据本次安全评价的特点，结合</w:t>
      </w:r>
      <w:r>
        <w:rPr>
          <w:rFonts w:hint="eastAsia" w:ascii="宋体"/>
          <w:color w:val="auto"/>
        </w:rPr>
        <w:t>泰安市岱岳区山口平安加油站</w:t>
      </w:r>
      <w:r>
        <w:rPr>
          <w:rFonts w:ascii="宋体"/>
          <w:color w:val="auto"/>
        </w:rPr>
        <w:t>的具体情况，选用安全检查表、事故树法及危险度评价法对加油站进行评价。具体应用如下表所示：</w:t>
      </w:r>
    </w:p>
    <w:p w14:paraId="30D795B2">
      <w:pPr>
        <w:pStyle w:val="19"/>
        <w:widowControl w:val="0"/>
        <w:adjustRightInd w:val="0"/>
        <w:snapToGrid w:val="0"/>
        <w:outlineLvl w:val="9"/>
        <w:rPr>
          <w:rFonts w:ascii="黑体" w:hAnsi="黑体"/>
          <w:color w:val="auto"/>
        </w:rPr>
      </w:pPr>
      <w:r>
        <w:rPr>
          <w:rFonts w:ascii="黑体" w:hAnsi="黑体"/>
          <w:color w:val="auto"/>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53FBF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9969897">
            <w:pPr>
              <w:pStyle w:val="20"/>
              <w:widowControl w:val="0"/>
              <w:adjustRightInd w:val="0"/>
              <w:snapToGrid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0168CB46">
            <w:pPr>
              <w:pStyle w:val="20"/>
              <w:widowControl w:val="0"/>
              <w:adjustRightInd w:val="0"/>
              <w:snapToGrid w:val="0"/>
              <w:spacing w:line="360" w:lineRule="auto"/>
              <w:rPr>
                <w:rFonts w:ascii="宋体"/>
                <w:b/>
                <w:color w:val="auto"/>
              </w:rPr>
            </w:pPr>
            <w:r>
              <w:rPr>
                <w:rFonts w:ascii="宋体"/>
                <w:b/>
                <w:bCs/>
                <w:color w:val="auto"/>
                <w:lang w:val="en-GB"/>
              </w:rPr>
              <w:t>评价单元</w:t>
            </w:r>
          </w:p>
        </w:tc>
        <w:tc>
          <w:tcPr>
            <w:tcW w:w="3339" w:type="pct"/>
            <w:gridSpan w:val="3"/>
            <w:vAlign w:val="center"/>
          </w:tcPr>
          <w:p w14:paraId="2C4AFDEB">
            <w:pPr>
              <w:pStyle w:val="20"/>
              <w:widowControl w:val="0"/>
              <w:adjustRightInd w:val="0"/>
              <w:snapToGrid w:val="0"/>
              <w:spacing w:line="360" w:lineRule="auto"/>
              <w:rPr>
                <w:rFonts w:ascii="宋体"/>
                <w:b/>
                <w:color w:val="auto"/>
              </w:rPr>
            </w:pPr>
            <w:r>
              <w:rPr>
                <w:rFonts w:ascii="宋体"/>
                <w:b/>
                <w:color w:val="auto"/>
                <w:lang w:val="en-GB"/>
              </w:rPr>
              <w:t>评价方法</w:t>
            </w:r>
          </w:p>
        </w:tc>
      </w:tr>
      <w:tr w14:paraId="31037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03509717">
            <w:pPr>
              <w:pStyle w:val="20"/>
              <w:widowControl w:val="0"/>
              <w:adjustRightInd w:val="0"/>
              <w:snapToGrid w:val="0"/>
              <w:spacing w:line="360" w:lineRule="auto"/>
              <w:rPr>
                <w:rFonts w:ascii="宋体"/>
                <w:b/>
                <w:color w:val="auto"/>
                <w:lang w:val="en-GB"/>
              </w:rPr>
            </w:pPr>
          </w:p>
        </w:tc>
        <w:tc>
          <w:tcPr>
            <w:tcW w:w="1285" w:type="pct"/>
            <w:vMerge w:val="continue"/>
            <w:vAlign w:val="center"/>
          </w:tcPr>
          <w:p w14:paraId="45C0FD29">
            <w:pPr>
              <w:pStyle w:val="20"/>
              <w:widowControl w:val="0"/>
              <w:adjustRightInd w:val="0"/>
              <w:snapToGrid w:val="0"/>
              <w:spacing w:line="360" w:lineRule="auto"/>
              <w:rPr>
                <w:rFonts w:ascii="宋体"/>
                <w:b/>
                <w:color w:val="auto"/>
              </w:rPr>
            </w:pPr>
          </w:p>
        </w:tc>
        <w:tc>
          <w:tcPr>
            <w:tcW w:w="1196" w:type="pct"/>
            <w:vAlign w:val="center"/>
          </w:tcPr>
          <w:p w14:paraId="17BCE365">
            <w:pPr>
              <w:pStyle w:val="20"/>
              <w:widowControl w:val="0"/>
              <w:adjustRightInd w:val="0"/>
              <w:snapToGrid w:val="0"/>
              <w:spacing w:line="360" w:lineRule="auto"/>
              <w:rPr>
                <w:rFonts w:ascii="宋体"/>
                <w:b/>
                <w:color w:val="auto"/>
                <w:lang w:val="en-GB"/>
              </w:rPr>
            </w:pPr>
            <w:r>
              <w:rPr>
                <w:rFonts w:ascii="宋体"/>
                <w:b/>
                <w:color w:val="auto"/>
                <w:lang w:val="en-GB"/>
              </w:rPr>
              <w:t>安全检查表</w:t>
            </w:r>
          </w:p>
        </w:tc>
        <w:tc>
          <w:tcPr>
            <w:tcW w:w="1170" w:type="pct"/>
            <w:vAlign w:val="center"/>
          </w:tcPr>
          <w:p w14:paraId="446C4779">
            <w:pPr>
              <w:pStyle w:val="20"/>
              <w:widowControl w:val="0"/>
              <w:adjustRightInd w:val="0"/>
              <w:snapToGrid w:val="0"/>
              <w:spacing w:line="360" w:lineRule="auto"/>
              <w:rPr>
                <w:rFonts w:ascii="宋体"/>
                <w:b/>
                <w:color w:val="auto"/>
                <w:lang w:val="en-GB"/>
              </w:rPr>
            </w:pPr>
            <w:r>
              <w:rPr>
                <w:rFonts w:ascii="宋体"/>
                <w:b/>
                <w:color w:val="auto"/>
                <w:lang w:val="en-GB"/>
              </w:rPr>
              <w:t>危险度评价法</w:t>
            </w:r>
          </w:p>
        </w:tc>
        <w:tc>
          <w:tcPr>
            <w:tcW w:w="972" w:type="pct"/>
            <w:vAlign w:val="center"/>
          </w:tcPr>
          <w:p w14:paraId="08FEC620">
            <w:pPr>
              <w:pStyle w:val="20"/>
              <w:widowControl w:val="0"/>
              <w:adjustRightInd w:val="0"/>
              <w:snapToGrid w:val="0"/>
              <w:spacing w:line="360" w:lineRule="auto"/>
              <w:rPr>
                <w:rFonts w:ascii="宋体"/>
                <w:b/>
                <w:color w:val="auto"/>
                <w:lang w:val="en-GB"/>
              </w:rPr>
            </w:pPr>
            <w:r>
              <w:rPr>
                <w:rFonts w:ascii="宋体"/>
                <w:b/>
                <w:color w:val="auto"/>
                <w:lang w:val="en-GB"/>
              </w:rPr>
              <w:t>事故树法</w:t>
            </w:r>
          </w:p>
        </w:tc>
      </w:tr>
      <w:tr w14:paraId="27EEA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C5D8607">
            <w:pPr>
              <w:pStyle w:val="20"/>
              <w:widowControl w:val="0"/>
              <w:adjustRightInd w:val="0"/>
              <w:snapToGrid w:val="0"/>
              <w:spacing w:line="360" w:lineRule="auto"/>
              <w:rPr>
                <w:rFonts w:ascii="宋体"/>
                <w:color w:val="auto"/>
                <w:lang w:val="en-GB"/>
              </w:rPr>
            </w:pPr>
            <w:r>
              <w:rPr>
                <w:rFonts w:ascii="宋体"/>
                <w:color w:val="auto"/>
                <w:lang w:val="en-GB"/>
              </w:rPr>
              <w:t>1</w:t>
            </w:r>
          </w:p>
        </w:tc>
        <w:tc>
          <w:tcPr>
            <w:tcW w:w="1285" w:type="pct"/>
            <w:vAlign w:val="center"/>
          </w:tcPr>
          <w:p w14:paraId="5AEBABC2">
            <w:pPr>
              <w:pStyle w:val="20"/>
              <w:widowControl w:val="0"/>
              <w:adjustRightInd w:val="0"/>
              <w:snapToGrid w:val="0"/>
              <w:spacing w:line="360" w:lineRule="auto"/>
              <w:rPr>
                <w:rFonts w:ascii="宋体"/>
                <w:color w:val="auto"/>
                <w:lang w:val="en-GB"/>
              </w:rPr>
            </w:pPr>
            <w:r>
              <w:rPr>
                <w:rFonts w:ascii="宋体"/>
                <w:color w:val="auto"/>
                <w:lang w:val="en-GB"/>
              </w:rPr>
              <w:t>安全管理单元</w:t>
            </w:r>
          </w:p>
        </w:tc>
        <w:tc>
          <w:tcPr>
            <w:tcW w:w="1196" w:type="pct"/>
            <w:vAlign w:val="center"/>
          </w:tcPr>
          <w:p w14:paraId="1E291D00">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2A4A5594">
            <w:pPr>
              <w:pStyle w:val="20"/>
              <w:widowControl w:val="0"/>
              <w:adjustRightInd w:val="0"/>
              <w:snapToGrid w:val="0"/>
              <w:spacing w:line="360" w:lineRule="auto"/>
              <w:rPr>
                <w:rFonts w:ascii="宋体"/>
                <w:color w:val="auto"/>
              </w:rPr>
            </w:pPr>
          </w:p>
        </w:tc>
        <w:tc>
          <w:tcPr>
            <w:tcW w:w="972" w:type="pct"/>
            <w:vAlign w:val="center"/>
          </w:tcPr>
          <w:p w14:paraId="00C1DAAC">
            <w:pPr>
              <w:pStyle w:val="20"/>
              <w:widowControl w:val="0"/>
              <w:adjustRightInd w:val="0"/>
              <w:snapToGrid w:val="0"/>
              <w:spacing w:line="360" w:lineRule="auto"/>
              <w:rPr>
                <w:rFonts w:ascii="宋体"/>
                <w:color w:val="auto"/>
              </w:rPr>
            </w:pPr>
          </w:p>
        </w:tc>
      </w:tr>
      <w:tr w14:paraId="76973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A4AADEA">
            <w:pPr>
              <w:pStyle w:val="20"/>
              <w:widowControl w:val="0"/>
              <w:adjustRightInd w:val="0"/>
              <w:snapToGrid w:val="0"/>
              <w:spacing w:line="360" w:lineRule="auto"/>
              <w:rPr>
                <w:rFonts w:ascii="宋体"/>
                <w:color w:val="auto"/>
                <w:lang w:val="en-GB"/>
              </w:rPr>
            </w:pPr>
            <w:r>
              <w:rPr>
                <w:rFonts w:ascii="宋体"/>
                <w:color w:val="auto"/>
                <w:lang w:val="en-GB"/>
              </w:rPr>
              <w:t>2</w:t>
            </w:r>
          </w:p>
        </w:tc>
        <w:tc>
          <w:tcPr>
            <w:tcW w:w="1285" w:type="pct"/>
            <w:vAlign w:val="center"/>
          </w:tcPr>
          <w:p w14:paraId="6DFEA469">
            <w:pPr>
              <w:pStyle w:val="20"/>
              <w:widowControl w:val="0"/>
              <w:adjustRightInd w:val="0"/>
              <w:snapToGrid w:val="0"/>
              <w:spacing w:line="360" w:lineRule="auto"/>
              <w:rPr>
                <w:rFonts w:ascii="宋体"/>
                <w:color w:val="auto"/>
                <w:lang w:val="en-GB"/>
              </w:rPr>
            </w:pPr>
            <w:r>
              <w:rPr>
                <w:rFonts w:ascii="宋体"/>
                <w:color w:val="auto"/>
                <w:lang w:val="en-GB"/>
              </w:rPr>
              <w:t>站址选择及总平面布置</w:t>
            </w:r>
          </w:p>
        </w:tc>
        <w:tc>
          <w:tcPr>
            <w:tcW w:w="1196" w:type="pct"/>
            <w:vAlign w:val="center"/>
          </w:tcPr>
          <w:p w14:paraId="5CF653C1">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70F8023B">
            <w:pPr>
              <w:pStyle w:val="20"/>
              <w:widowControl w:val="0"/>
              <w:adjustRightInd w:val="0"/>
              <w:snapToGrid w:val="0"/>
              <w:spacing w:line="360" w:lineRule="auto"/>
              <w:rPr>
                <w:rFonts w:ascii="宋体"/>
                <w:color w:val="auto"/>
              </w:rPr>
            </w:pPr>
          </w:p>
        </w:tc>
        <w:tc>
          <w:tcPr>
            <w:tcW w:w="972" w:type="pct"/>
            <w:vAlign w:val="center"/>
          </w:tcPr>
          <w:p w14:paraId="757A7995">
            <w:pPr>
              <w:pStyle w:val="20"/>
              <w:widowControl w:val="0"/>
              <w:adjustRightInd w:val="0"/>
              <w:snapToGrid w:val="0"/>
              <w:spacing w:line="360" w:lineRule="auto"/>
              <w:rPr>
                <w:rFonts w:ascii="宋体"/>
                <w:color w:val="auto"/>
              </w:rPr>
            </w:pPr>
          </w:p>
        </w:tc>
      </w:tr>
      <w:tr w14:paraId="62F8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1EE35C5">
            <w:pPr>
              <w:pStyle w:val="20"/>
              <w:widowControl w:val="0"/>
              <w:adjustRightInd w:val="0"/>
              <w:snapToGrid w:val="0"/>
              <w:spacing w:line="360" w:lineRule="auto"/>
              <w:rPr>
                <w:rFonts w:ascii="宋体"/>
                <w:color w:val="auto"/>
                <w:lang w:val="en-GB"/>
              </w:rPr>
            </w:pPr>
            <w:r>
              <w:rPr>
                <w:rFonts w:ascii="宋体"/>
                <w:color w:val="auto"/>
                <w:lang w:val="en-GB"/>
              </w:rPr>
              <w:t>3</w:t>
            </w:r>
          </w:p>
        </w:tc>
        <w:tc>
          <w:tcPr>
            <w:tcW w:w="1285" w:type="pct"/>
            <w:vAlign w:val="center"/>
          </w:tcPr>
          <w:p w14:paraId="4A918E6C">
            <w:pPr>
              <w:pStyle w:val="20"/>
              <w:widowControl w:val="0"/>
              <w:adjustRightInd w:val="0"/>
              <w:snapToGrid w:val="0"/>
              <w:spacing w:line="360" w:lineRule="auto"/>
              <w:rPr>
                <w:rFonts w:ascii="宋体"/>
                <w:color w:val="auto"/>
                <w:lang w:val="en-GB"/>
              </w:rPr>
            </w:pPr>
            <w:r>
              <w:rPr>
                <w:rFonts w:ascii="宋体"/>
                <w:color w:val="auto"/>
                <w:lang w:val="en-GB"/>
              </w:rPr>
              <w:t>加油工艺及设施</w:t>
            </w:r>
          </w:p>
        </w:tc>
        <w:tc>
          <w:tcPr>
            <w:tcW w:w="1196" w:type="pct"/>
            <w:vAlign w:val="center"/>
          </w:tcPr>
          <w:p w14:paraId="4D11A67E">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92D00C6">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972" w:type="pct"/>
            <w:vAlign w:val="center"/>
          </w:tcPr>
          <w:p w14:paraId="0E836CF9">
            <w:pPr>
              <w:pStyle w:val="20"/>
              <w:widowControl w:val="0"/>
              <w:adjustRightInd w:val="0"/>
              <w:snapToGrid w:val="0"/>
              <w:spacing w:line="360" w:lineRule="auto"/>
              <w:rPr>
                <w:rFonts w:ascii="宋体"/>
                <w:color w:val="auto"/>
              </w:rPr>
            </w:pPr>
            <w:r>
              <w:rPr>
                <w:rFonts w:hint="eastAsia" w:ascii="宋体" w:hAnsi="宋体" w:cs="宋体"/>
                <w:color w:val="auto"/>
              </w:rPr>
              <w:t>★</w:t>
            </w:r>
          </w:p>
        </w:tc>
      </w:tr>
      <w:tr w14:paraId="033D5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6CB1BBD">
            <w:pPr>
              <w:pStyle w:val="20"/>
              <w:widowControl w:val="0"/>
              <w:adjustRightInd w:val="0"/>
              <w:snapToGrid w:val="0"/>
              <w:spacing w:line="360" w:lineRule="auto"/>
              <w:rPr>
                <w:rFonts w:ascii="宋体"/>
                <w:color w:val="auto"/>
                <w:lang w:val="en-GB"/>
              </w:rPr>
            </w:pPr>
            <w:r>
              <w:rPr>
                <w:rFonts w:ascii="宋体"/>
                <w:color w:val="auto"/>
                <w:lang w:val="en-GB"/>
              </w:rPr>
              <w:t>4</w:t>
            </w:r>
          </w:p>
        </w:tc>
        <w:tc>
          <w:tcPr>
            <w:tcW w:w="1285" w:type="pct"/>
            <w:vAlign w:val="center"/>
          </w:tcPr>
          <w:p w14:paraId="18F40D56">
            <w:pPr>
              <w:pStyle w:val="20"/>
              <w:widowControl w:val="0"/>
              <w:adjustRightInd w:val="0"/>
              <w:snapToGrid w:val="0"/>
              <w:spacing w:line="360" w:lineRule="auto"/>
              <w:rPr>
                <w:rFonts w:ascii="宋体"/>
                <w:color w:val="auto"/>
                <w:lang w:val="en-GB"/>
              </w:rPr>
            </w:pPr>
            <w:r>
              <w:rPr>
                <w:rFonts w:ascii="宋体"/>
                <w:color w:val="auto"/>
                <w:lang w:val="en-GB"/>
              </w:rPr>
              <w:t>其它安全设施</w:t>
            </w:r>
          </w:p>
        </w:tc>
        <w:tc>
          <w:tcPr>
            <w:tcW w:w="1196" w:type="pct"/>
            <w:vAlign w:val="center"/>
          </w:tcPr>
          <w:p w14:paraId="65B05064">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808F65A">
            <w:pPr>
              <w:pStyle w:val="20"/>
              <w:widowControl w:val="0"/>
              <w:adjustRightInd w:val="0"/>
              <w:snapToGrid w:val="0"/>
              <w:spacing w:line="360" w:lineRule="auto"/>
              <w:rPr>
                <w:rFonts w:ascii="宋体"/>
                <w:color w:val="auto"/>
              </w:rPr>
            </w:pPr>
          </w:p>
        </w:tc>
        <w:tc>
          <w:tcPr>
            <w:tcW w:w="972" w:type="pct"/>
            <w:vAlign w:val="center"/>
          </w:tcPr>
          <w:p w14:paraId="4ADFB55C">
            <w:pPr>
              <w:pStyle w:val="20"/>
              <w:widowControl w:val="0"/>
              <w:adjustRightInd w:val="0"/>
              <w:snapToGrid w:val="0"/>
              <w:spacing w:line="360" w:lineRule="auto"/>
              <w:rPr>
                <w:rFonts w:ascii="宋体"/>
                <w:color w:val="auto"/>
              </w:rPr>
            </w:pPr>
          </w:p>
        </w:tc>
      </w:tr>
    </w:tbl>
    <w:p w14:paraId="63FFFE3C">
      <w:pPr>
        <w:pStyle w:val="17"/>
        <w:widowControl w:val="0"/>
        <w:spacing w:line="360" w:lineRule="auto"/>
        <w:ind w:firstLine="420"/>
        <w:rPr>
          <w:rFonts w:ascii="宋体"/>
          <w:color w:val="auto"/>
        </w:rPr>
      </w:pPr>
      <w:r>
        <w:rPr>
          <w:rFonts w:ascii="黑体" w:hAnsi="黑体" w:eastAsia="黑体"/>
          <w:color w:val="auto"/>
          <w:sz w:val="21"/>
          <w:szCs w:val="21"/>
          <w:u w:color="000000"/>
        </w:rPr>
        <w:t>注：表中“★”表示采用的评价方法。</w:t>
      </w:r>
    </w:p>
    <w:p w14:paraId="6EC93C82">
      <w:pPr>
        <w:pStyle w:val="21"/>
        <w:widowControl w:val="0"/>
        <w:snapToGrid w:val="0"/>
        <w:spacing w:line="360" w:lineRule="auto"/>
        <w:ind w:firstLine="872" w:firstLineChars="400"/>
        <w:rPr>
          <w:color w:val="auto"/>
        </w:rPr>
      </w:pPr>
    </w:p>
    <w:p w14:paraId="2F4766DE">
      <w:pPr>
        <w:pStyle w:val="18"/>
        <w:keepNext w:val="0"/>
        <w:keepLines w:val="0"/>
        <w:kinsoku/>
        <w:wordWrap/>
        <w:overflowPunct/>
        <w:topLinePunct w:val="0"/>
        <w:autoSpaceDE/>
        <w:autoSpaceDN/>
        <w:bidi w:val="0"/>
        <w:adjustRightInd w:val="0"/>
        <w:snapToGrid w:val="0"/>
        <w:spacing w:before="0" w:beforeLines="0" w:after="0" w:afterLines="0" w:line="360" w:lineRule="auto"/>
        <w:textAlignment w:val="auto"/>
        <w:rPr>
          <w:color w:val="auto"/>
          <w:highlight w:val="none"/>
        </w:rPr>
      </w:pPr>
      <w:bookmarkStart w:id="35" w:name="_Toc7871"/>
      <w:r>
        <w:rPr>
          <w:rFonts w:hint="eastAsia"/>
          <w:color w:val="auto"/>
          <w:highlight w:val="none"/>
        </w:rPr>
        <w:t>第六章  安全对策措施及建议</w:t>
      </w:r>
      <w:bookmarkEnd w:id="35"/>
    </w:p>
    <w:p w14:paraId="614212B6">
      <w:pPr>
        <w:pStyle w:val="3"/>
        <w:keepNext w:val="0"/>
        <w:keepLines w:val="0"/>
        <w:kinsoku/>
        <w:wordWrap/>
        <w:overflowPunct/>
        <w:topLinePunct w:val="0"/>
        <w:autoSpaceDE/>
        <w:autoSpaceDN/>
        <w:bidi w:val="0"/>
        <w:adjustRightInd w:val="0"/>
        <w:snapToGrid w:val="0"/>
        <w:spacing w:line="360" w:lineRule="auto"/>
        <w:ind w:firstLine="0"/>
        <w:textAlignment w:val="auto"/>
        <w:rPr>
          <w:color w:val="auto"/>
          <w:highlight w:val="none"/>
        </w:rPr>
      </w:pPr>
      <w:bookmarkStart w:id="36" w:name="_Toc339456079"/>
      <w:bookmarkStart w:id="37" w:name="_Toc225046264"/>
      <w:bookmarkStart w:id="38" w:name="_Toc102634415"/>
      <w:bookmarkStart w:id="39" w:name="_Toc348877039"/>
      <w:bookmarkStart w:id="40" w:name="_Toc242065302"/>
      <w:bookmarkStart w:id="41" w:name="_Toc2607"/>
      <w:bookmarkStart w:id="42" w:name="_Toc102634277"/>
      <w:bookmarkStart w:id="43" w:name="_Toc102633915"/>
      <w:bookmarkStart w:id="44" w:name="_Toc4961"/>
      <w:bookmarkStart w:id="45" w:name="_Toc102633989"/>
      <w:bookmarkStart w:id="46" w:name="_Toc15033762"/>
      <w:r>
        <w:rPr>
          <w:rFonts w:hint="eastAsia"/>
          <w:color w:val="auto"/>
          <w:highlight w:val="none"/>
        </w:rPr>
        <w:t xml:space="preserve">第一节 </w:t>
      </w:r>
      <w:bookmarkEnd w:id="36"/>
      <w:bookmarkEnd w:id="37"/>
      <w:r>
        <w:rPr>
          <w:rFonts w:hint="eastAsia"/>
          <w:color w:val="auto"/>
          <w:highlight w:val="none"/>
        </w:rPr>
        <w:t>存在的问题及整改建议</w:t>
      </w:r>
      <w:bookmarkEnd w:id="38"/>
      <w:bookmarkEnd w:id="39"/>
      <w:bookmarkEnd w:id="40"/>
      <w:bookmarkEnd w:id="41"/>
      <w:bookmarkEnd w:id="42"/>
      <w:bookmarkEnd w:id="43"/>
      <w:bookmarkEnd w:id="44"/>
      <w:bookmarkEnd w:id="45"/>
      <w:bookmarkEnd w:id="46"/>
    </w:p>
    <w:p w14:paraId="3ED4B592">
      <w:pPr>
        <w:keepNext w:val="0"/>
        <w:keepLines w:val="0"/>
        <w:tabs>
          <w:tab w:val="left" w:pos="698"/>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eastAsia="宋体"/>
          <w:color w:val="auto"/>
          <w:kern w:val="0"/>
          <w:sz w:val="28"/>
          <w:szCs w:val="20"/>
          <w:highlight w:val="none"/>
          <w:lang w:val="en-US" w:eastAsia="zh-CN"/>
        </w:rPr>
      </w:pPr>
      <w:bookmarkStart w:id="47" w:name="_Toc15033763"/>
      <w:bookmarkStart w:id="48" w:name="_Toc49590281"/>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w:t>
      </w:r>
      <w:bookmarkEnd w:id="47"/>
      <w:bookmarkEnd w:id="48"/>
      <w:r>
        <w:rPr>
          <w:rFonts w:hint="eastAsia" w:ascii="宋体"/>
          <w:color w:val="auto"/>
          <w:kern w:val="0"/>
          <w:sz w:val="28"/>
          <w:szCs w:val="20"/>
          <w:highlight w:val="none"/>
        </w:rPr>
        <w:t>该加油站</w:t>
      </w:r>
      <w:r>
        <w:rPr>
          <w:rFonts w:hint="eastAsia" w:ascii="宋体"/>
          <w:color w:val="auto"/>
          <w:kern w:val="0"/>
          <w:sz w:val="28"/>
          <w:szCs w:val="20"/>
          <w:highlight w:val="none"/>
          <w:lang w:val="en-US" w:eastAsia="zh-CN"/>
        </w:rPr>
        <w:t>除自控系统暂未运行外，</w:t>
      </w:r>
      <w:r>
        <w:rPr>
          <w:rFonts w:hint="eastAsia" w:ascii="宋体"/>
          <w:color w:val="auto"/>
          <w:kern w:val="0"/>
          <w:sz w:val="28"/>
          <w:szCs w:val="20"/>
          <w:highlight w:val="none"/>
        </w:rPr>
        <w:t>在安全管理、站址选择及总平面布置、加油工艺及设施、其它设施等方面符合有关法律、标准规范的要求。</w:t>
      </w:r>
    </w:p>
    <w:p w14:paraId="014679A2">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4636F7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07B4FC4B">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3845" w:type="dxa"/>
            <w:vAlign w:val="center"/>
          </w:tcPr>
          <w:p w14:paraId="453F84D1">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740" w:type="dxa"/>
            <w:vAlign w:val="center"/>
          </w:tcPr>
          <w:p w14:paraId="30D7146A">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0F3B49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5BF1765">
            <w:pPr>
              <w:widowControl/>
              <w:tabs>
                <w:tab w:val="left" w:pos="6120"/>
              </w:tabs>
              <w:adjustRightInd w:val="0"/>
              <w:spacing w:before="31" w:beforeLines="10" w:after="31" w:afterLines="10" w:line="320" w:lineRule="exact"/>
              <w:jc w:val="center"/>
              <w:textAlignment w:val="baseline"/>
              <w:rPr>
                <w:rFonts w:ascii="宋体" w:hAnsi="宋体"/>
                <w:bCs/>
                <w:color w:val="auto"/>
                <w:kern w:val="0"/>
                <w:position w:val="2"/>
                <w:highlight w:val="none"/>
                <w:u w:color="000000"/>
              </w:rPr>
            </w:pPr>
            <w:r>
              <w:rPr>
                <w:rFonts w:hint="eastAsia" w:ascii="宋体" w:hAnsi="宋体"/>
                <w:bCs/>
                <w:color w:val="auto"/>
                <w:kern w:val="0"/>
                <w:position w:val="2"/>
                <w:highlight w:val="none"/>
                <w:u w:color="000000"/>
              </w:rPr>
              <w:t>1</w:t>
            </w:r>
          </w:p>
        </w:tc>
        <w:tc>
          <w:tcPr>
            <w:tcW w:w="3845" w:type="dxa"/>
            <w:vAlign w:val="center"/>
          </w:tcPr>
          <w:p w14:paraId="4EF14EC3">
            <w:pPr>
              <w:jc w:val="center"/>
              <w:rPr>
                <w:rFonts w:hint="eastAsia" w:ascii="宋体" w:hAnsi="宋体" w:eastAsia="宋体" w:cs="宋体"/>
                <w:color w:val="auto"/>
                <w:kern w:val="0"/>
                <w:highlight w:val="none"/>
                <w:u w:color="000000"/>
              </w:rPr>
            </w:pPr>
            <w:r>
              <w:rPr>
                <w:rFonts w:hint="eastAsia" w:ascii="宋体" w:hAnsi="宋体" w:eastAsia="宋体" w:cs="宋体"/>
                <w:color w:val="auto"/>
                <w:spacing w:val="10"/>
                <w:highlight w:val="none"/>
              </w:rPr>
              <w:t>油罐操作井井盖无油品标识，油罐操作井内管道无介质流向标识。</w:t>
            </w:r>
          </w:p>
        </w:tc>
        <w:tc>
          <w:tcPr>
            <w:tcW w:w="4740" w:type="dxa"/>
            <w:shd w:val="clear" w:color="auto" w:fill="auto"/>
            <w:vAlign w:val="center"/>
          </w:tcPr>
          <w:p w14:paraId="1A677D36">
            <w:pPr>
              <w:jc w:val="center"/>
              <w:rPr>
                <w:rFonts w:hint="eastAsia" w:ascii="宋体" w:hAnsi="宋体" w:eastAsia="宋体" w:cs="宋体"/>
                <w:color w:val="auto"/>
                <w:kern w:val="0"/>
                <w:highlight w:val="none"/>
                <w:u w:color="000000"/>
              </w:rPr>
            </w:pPr>
            <w:r>
              <w:rPr>
                <w:rFonts w:hint="eastAsia" w:ascii="宋体" w:hAnsi="宋体" w:eastAsia="宋体" w:cs="宋体"/>
                <w:color w:val="auto"/>
                <w:spacing w:val="10"/>
                <w:highlight w:val="none"/>
              </w:rPr>
              <w:t>油罐操作井井盖应设油品标识，油罐操作井内管道应设介质流向标识。</w:t>
            </w:r>
          </w:p>
        </w:tc>
      </w:tr>
      <w:tr w14:paraId="4B657E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CE7D3C1">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highlight w:val="none"/>
                <w:u w:color="000000"/>
                <w:lang w:val="en-US" w:eastAsia="zh-CN"/>
              </w:rPr>
            </w:pPr>
            <w:r>
              <w:rPr>
                <w:rFonts w:hint="eastAsia" w:ascii="宋体" w:hAnsi="宋体"/>
                <w:bCs/>
                <w:color w:val="auto"/>
                <w:kern w:val="0"/>
                <w:position w:val="2"/>
                <w:highlight w:val="none"/>
                <w:u w:color="000000"/>
                <w:lang w:val="en-US" w:eastAsia="zh-CN"/>
              </w:rPr>
              <w:t>2</w:t>
            </w:r>
          </w:p>
        </w:tc>
        <w:tc>
          <w:tcPr>
            <w:tcW w:w="3845" w:type="dxa"/>
            <w:vAlign w:val="center"/>
          </w:tcPr>
          <w:p w14:paraId="178AEA5B">
            <w:pPr>
              <w:jc w:val="center"/>
              <w:rPr>
                <w:rFonts w:hint="eastAsia" w:ascii="宋体" w:hAnsi="宋体" w:eastAsia="宋体" w:cs="宋体"/>
                <w:color w:val="auto"/>
                <w:spacing w:val="10"/>
                <w:highlight w:val="none"/>
              </w:rPr>
            </w:pPr>
            <w:r>
              <w:rPr>
                <w:rFonts w:hint="eastAsia" w:ascii="宋体" w:hAnsi="宋体" w:eastAsia="宋体" w:cs="宋体"/>
                <w:color w:val="auto"/>
                <w:highlight w:val="none"/>
              </w:rPr>
              <w:t>液位仪、</w:t>
            </w:r>
            <w:r>
              <w:rPr>
                <w:rFonts w:hint="eastAsia" w:ascii="宋体" w:hAnsi="宋体" w:eastAsia="宋体" w:cs="宋体"/>
                <w:color w:val="auto"/>
                <w:highlight w:val="none"/>
                <w:lang w:val="en-US" w:eastAsia="zh-CN"/>
              </w:rPr>
              <w:t>测</w:t>
            </w:r>
            <w:r>
              <w:rPr>
                <w:rFonts w:hint="eastAsia" w:ascii="宋体" w:hAnsi="宋体" w:eastAsia="宋体" w:cs="宋体"/>
                <w:color w:val="auto"/>
                <w:highlight w:val="none"/>
              </w:rPr>
              <w:t>漏仪</w:t>
            </w:r>
            <w:r>
              <w:rPr>
                <w:rFonts w:hint="eastAsia" w:ascii="宋体" w:hAnsi="宋体" w:eastAsia="宋体" w:cs="宋体"/>
                <w:color w:val="auto"/>
                <w:highlight w:val="none"/>
                <w:lang w:val="en-US" w:eastAsia="zh-CN"/>
              </w:rPr>
              <w:t>未显示。</w:t>
            </w:r>
          </w:p>
        </w:tc>
        <w:tc>
          <w:tcPr>
            <w:tcW w:w="4740" w:type="dxa"/>
            <w:shd w:val="clear" w:color="auto" w:fill="auto"/>
            <w:vAlign w:val="center"/>
          </w:tcPr>
          <w:p w14:paraId="2FFF9130">
            <w:pPr>
              <w:jc w:val="center"/>
              <w:rPr>
                <w:rFonts w:hint="eastAsia" w:ascii="宋体" w:hAnsi="宋体" w:eastAsia="宋体" w:cs="宋体"/>
                <w:color w:val="auto"/>
                <w:spacing w:val="10"/>
                <w:highlight w:val="none"/>
                <w:lang w:val="en-US" w:eastAsia="zh-CN"/>
              </w:rPr>
            </w:pPr>
            <w:r>
              <w:rPr>
                <w:rFonts w:hint="eastAsia" w:ascii="宋体" w:hAnsi="宋体" w:eastAsia="宋体" w:cs="宋体"/>
                <w:color w:val="auto"/>
                <w:highlight w:val="none"/>
              </w:rPr>
              <w:t>液位仪、</w:t>
            </w:r>
            <w:r>
              <w:rPr>
                <w:rFonts w:hint="eastAsia" w:ascii="宋体" w:hAnsi="宋体" w:eastAsia="宋体" w:cs="宋体"/>
                <w:color w:val="auto"/>
                <w:highlight w:val="none"/>
                <w:lang w:val="en-US" w:eastAsia="zh-CN"/>
              </w:rPr>
              <w:t>测</w:t>
            </w:r>
            <w:r>
              <w:rPr>
                <w:rFonts w:hint="eastAsia" w:ascii="宋体" w:hAnsi="宋体" w:eastAsia="宋体" w:cs="宋体"/>
                <w:color w:val="auto"/>
                <w:highlight w:val="none"/>
              </w:rPr>
              <w:t>漏仪</w:t>
            </w:r>
            <w:r>
              <w:rPr>
                <w:rFonts w:hint="eastAsia" w:ascii="宋体" w:hAnsi="宋体" w:eastAsia="宋体" w:cs="宋体"/>
                <w:color w:val="auto"/>
                <w:highlight w:val="none"/>
                <w:lang w:val="en-US" w:eastAsia="zh-CN"/>
              </w:rPr>
              <w:t>应</w:t>
            </w:r>
            <w:r>
              <w:rPr>
                <w:rFonts w:hint="eastAsia" w:ascii="宋体" w:hAnsi="宋体" w:cs="宋体"/>
                <w:color w:val="auto"/>
                <w:highlight w:val="none"/>
                <w:lang w:val="en-US" w:eastAsia="zh-CN"/>
              </w:rPr>
              <w:t>能</w:t>
            </w:r>
            <w:r>
              <w:rPr>
                <w:rFonts w:hint="eastAsia" w:ascii="宋体" w:hAnsi="宋体" w:eastAsia="宋体" w:cs="宋体"/>
                <w:color w:val="auto"/>
                <w:highlight w:val="none"/>
                <w:lang w:val="en-US" w:eastAsia="zh-CN"/>
              </w:rPr>
              <w:t>正常显示。</w:t>
            </w:r>
          </w:p>
        </w:tc>
      </w:tr>
      <w:tr w14:paraId="1848D7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64F175E">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highlight w:val="none"/>
                <w:u w:color="000000"/>
                <w:lang w:val="en-US" w:eastAsia="zh-CN"/>
              </w:rPr>
            </w:pPr>
            <w:r>
              <w:rPr>
                <w:rFonts w:hint="eastAsia" w:ascii="宋体" w:hAnsi="宋体"/>
                <w:bCs/>
                <w:color w:val="auto"/>
                <w:kern w:val="0"/>
                <w:position w:val="2"/>
                <w:highlight w:val="none"/>
                <w:u w:color="000000"/>
                <w:lang w:val="en-US" w:eastAsia="zh-CN"/>
              </w:rPr>
              <w:t>3</w:t>
            </w:r>
          </w:p>
        </w:tc>
        <w:tc>
          <w:tcPr>
            <w:tcW w:w="3845" w:type="dxa"/>
            <w:vAlign w:val="center"/>
          </w:tcPr>
          <w:p w14:paraId="510EFC92">
            <w:pPr>
              <w:jc w:val="center"/>
              <w:rPr>
                <w:rFonts w:hint="eastAsia" w:ascii="宋体" w:hAnsi="宋体" w:eastAsia="宋体" w:cs="宋体"/>
                <w:color w:val="auto"/>
                <w:highlight w:val="none"/>
              </w:rPr>
            </w:pPr>
            <w:r>
              <w:rPr>
                <w:rStyle w:val="11"/>
                <w:rFonts w:hint="eastAsia" w:ascii="宋体" w:hAnsi="宋体" w:eastAsia="宋体" w:cs="宋体"/>
                <w:color w:val="auto"/>
                <w:highlight w:val="none"/>
                <w:u w:color="000000"/>
              </w:rPr>
              <w:t>液位仪、测漏仪未设不间断电源</w:t>
            </w:r>
          </w:p>
        </w:tc>
        <w:tc>
          <w:tcPr>
            <w:tcW w:w="4740" w:type="dxa"/>
            <w:shd w:val="clear" w:color="auto" w:fill="auto"/>
            <w:vAlign w:val="center"/>
          </w:tcPr>
          <w:p w14:paraId="79F9B7EF">
            <w:pPr>
              <w:jc w:val="center"/>
              <w:rPr>
                <w:rFonts w:hint="eastAsia" w:ascii="宋体" w:hAnsi="宋体" w:eastAsia="宋体" w:cs="宋体"/>
                <w:color w:val="auto"/>
                <w:highlight w:val="none"/>
              </w:rPr>
            </w:pPr>
            <w:r>
              <w:rPr>
                <w:rStyle w:val="11"/>
                <w:rFonts w:hint="eastAsia" w:ascii="宋体" w:hAnsi="宋体" w:eastAsia="宋体" w:cs="宋体"/>
                <w:color w:val="auto"/>
                <w:highlight w:val="none"/>
                <w:u w:color="000000"/>
              </w:rPr>
              <w:t>液位仪、测漏仪</w:t>
            </w:r>
            <w:r>
              <w:rPr>
                <w:rStyle w:val="11"/>
                <w:rFonts w:hint="eastAsia" w:ascii="宋体" w:hAnsi="宋体" w:eastAsia="宋体" w:cs="宋体"/>
                <w:color w:val="auto"/>
                <w:highlight w:val="none"/>
                <w:u w:color="000000"/>
                <w:lang w:val="en-US" w:eastAsia="zh-CN"/>
              </w:rPr>
              <w:t>应</w:t>
            </w:r>
            <w:r>
              <w:rPr>
                <w:rStyle w:val="11"/>
                <w:rFonts w:hint="eastAsia" w:ascii="宋体" w:hAnsi="宋体" w:eastAsia="宋体" w:cs="宋体"/>
                <w:color w:val="auto"/>
                <w:highlight w:val="none"/>
                <w:u w:color="000000"/>
              </w:rPr>
              <w:t>设不间断电源</w:t>
            </w:r>
          </w:p>
        </w:tc>
      </w:tr>
      <w:tr w14:paraId="59CB5F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B1FCBB5">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highlight w:val="none"/>
                <w:u w:color="000000"/>
                <w:lang w:val="en-US" w:eastAsia="zh-CN"/>
              </w:rPr>
            </w:pPr>
            <w:r>
              <w:rPr>
                <w:rFonts w:hint="eastAsia" w:ascii="宋体" w:hAnsi="宋体"/>
                <w:bCs/>
                <w:color w:val="auto"/>
                <w:kern w:val="0"/>
                <w:position w:val="2"/>
                <w:highlight w:val="none"/>
                <w:u w:color="000000"/>
                <w:lang w:val="en-US" w:eastAsia="zh-CN"/>
              </w:rPr>
              <w:t>4</w:t>
            </w:r>
          </w:p>
        </w:tc>
        <w:tc>
          <w:tcPr>
            <w:tcW w:w="3845" w:type="dxa"/>
            <w:vAlign w:val="center"/>
          </w:tcPr>
          <w:p w14:paraId="4908807B">
            <w:pPr>
              <w:jc w:val="center"/>
              <w:rPr>
                <w:rStyle w:val="11"/>
                <w:rFonts w:hint="eastAsia" w:ascii="宋体" w:hAnsi="宋体" w:eastAsia="宋体" w:cs="宋体"/>
                <w:color w:val="auto"/>
                <w:highlight w:val="none"/>
                <w:u w:color="000000"/>
              </w:rPr>
            </w:pPr>
            <w:r>
              <w:rPr>
                <w:rFonts w:hint="eastAsia" w:ascii="宋体" w:hAnsi="宋体" w:eastAsia="宋体" w:cs="宋体"/>
                <w:color w:val="auto"/>
                <w:kern w:val="2"/>
                <w:sz w:val="21"/>
                <w:szCs w:val="21"/>
                <w:highlight w:val="none"/>
                <w:lang w:val="en-US" w:eastAsia="zh-CN"/>
              </w:rPr>
              <w:t>未设置</w:t>
            </w:r>
            <w:r>
              <w:rPr>
                <w:rFonts w:hint="eastAsia" w:ascii="宋体" w:hAnsi="宋体" w:eastAsia="宋体" w:cs="宋体"/>
                <w:color w:val="auto"/>
                <w:kern w:val="2"/>
                <w:sz w:val="21"/>
                <w:szCs w:val="21"/>
                <w:highlight w:val="none"/>
              </w:rPr>
              <w:t>人体静电释放仪</w:t>
            </w:r>
          </w:p>
        </w:tc>
        <w:tc>
          <w:tcPr>
            <w:tcW w:w="4740" w:type="dxa"/>
            <w:shd w:val="clear" w:color="auto" w:fill="auto"/>
            <w:vAlign w:val="center"/>
          </w:tcPr>
          <w:p w14:paraId="40F3A7AA">
            <w:pPr>
              <w:jc w:val="center"/>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rPr>
              <w:t>油罐区应设置</w:t>
            </w:r>
            <w:r>
              <w:rPr>
                <w:rFonts w:hint="eastAsia" w:ascii="宋体" w:hAnsi="宋体" w:eastAsia="宋体" w:cs="宋体"/>
                <w:color w:val="auto"/>
                <w:kern w:val="2"/>
                <w:sz w:val="21"/>
                <w:szCs w:val="21"/>
                <w:highlight w:val="none"/>
              </w:rPr>
              <w:t>人体静电释放仪</w:t>
            </w:r>
          </w:p>
        </w:tc>
      </w:tr>
    </w:tbl>
    <w:p w14:paraId="4DD935D5">
      <w:pPr>
        <w:tabs>
          <w:tab w:val="left" w:pos="698"/>
        </w:tabs>
        <w:ind w:firstLine="560" w:firstLineChars="200"/>
        <w:jc w:val="left"/>
        <w:rPr>
          <w:rFonts w:ascii="宋体"/>
          <w:color w:val="auto"/>
          <w:kern w:val="0"/>
          <w:sz w:val="28"/>
          <w:szCs w:val="20"/>
          <w:highlight w:val="none"/>
        </w:r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20F309BE">
      <w:pPr>
        <w:widowControl/>
        <w:spacing w:line="360" w:lineRule="auto"/>
        <w:jc w:val="center"/>
        <w:textAlignment w:val="baseline"/>
        <w:rPr>
          <w:rFonts w:ascii="黑体" w:hAnsi="黑体" w:eastAsia="黑体" w:cs="黑体"/>
          <w:color w:val="auto"/>
          <w:kern w:val="0"/>
          <w:sz w:val="24"/>
          <w:szCs w:val="24"/>
          <w:highlight w:val="none"/>
          <w:u w:color="000000"/>
        </w:rPr>
      </w:pPr>
    </w:p>
    <w:p w14:paraId="45B31E4E">
      <w:pPr>
        <w:widowControl/>
        <w:spacing w:line="360" w:lineRule="auto"/>
        <w:jc w:val="center"/>
        <w:textAlignment w:val="baseline"/>
        <w:rPr>
          <w:rFonts w:ascii="黑体" w:hAnsi="黑体" w:eastAsia="黑体" w:cs="黑体"/>
          <w:color w:val="auto"/>
          <w:kern w:val="0"/>
          <w:sz w:val="24"/>
          <w:szCs w:val="24"/>
          <w:u w:color="000000"/>
        </w:rPr>
      </w:pPr>
    </w:p>
    <w:p w14:paraId="052AEFF2">
      <w:pPr>
        <w:pStyle w:val="13"/>
        <w:rPr>
          <w:rFonts w:ascii="黑体" w:hAnsi="黑体" w:eastAsia="黑体" w:cs="黑体"/>
          <w:color w:val="auto"/>
          <w:u w:color="000000"/>
        </w:rPr>
      </w:pPr>
    </w:p>
    <w:p w14:paraId="5B43CB4A">
      <w:pPr>
        <w:pStyle w:val="13"/>
        <w:rPr>
          <w:rFonts w:ascii="黑体" w:hAnsi="黑体" w:eastAsia="黑体" w:cs="黑体"/>
          <w:color w:val="auto"/>
          <w:u w:color="000000"/>
        </w:rPr>
      </w:pPr>
    </w:p>
    <w:p w14:paraId="52DAB9F2">
      <w:pPr>
        <w:pStyle w:val="13"/>
        <w:rPr>
          <w:rFonts w:ascii="黑体" w:hAnsi="黑体" w:eastAsia="黑体" w:cs="黑体"/>
          <w:color w:val="auto"/>
          <w:u w:color="000000"/>
        </w:rPr>
      </w:pPr>
    </w:p>
    <w:p w14:paraId="57AB597A">
      <w:pPr>
        <w:pStyle w:val="13"/>
        <w:rPr>
          <w:rFonts w:ascii="黑体" w:hAnsi="黑体" w:eastAsia="黑体" w:cs="黑体"/>
          <w:color w:val="auto"/>
          <w:u w:color="000000"/>
        </w:rPr>
      </w:pPr>
    </w:p>
    <w:p w14:paraId="0A9A7043">
      <w:pPr>
        <w:pStyle w:val="13"/>
        <w:rPr>
          <w:rFonts w:ascii="黑体" w:hAnsi="黑体" w:eastAsia="黑体" w:cs="黑体"/>
          <w:color w:val="auto"/>
          <w:u w:color="000000"/>
        </w:rPr>
      </w:pPr>
    </w:p>
    <w:p w14:paraId="61D17D19">
      <w:pPr>
        <w:widowControl/>
        <w:spacing w:line="360" w:lineRule="auto"/>
        <w:jc w:val="center"/>
        <w:textAlignment w:val="baseline"/>
        <w:rPr>
          <w:rFonts w:ascii="黑体" w:hAnsi="黑体" w:eastAsia="黑体" w:cs="黑体"/>
          <w:color w:val="auto"/>
          <w:kern w:val="0"/>
          <w:sz w:val="24"/>
          <w:szCs w:val="24"/>
          <w:u w:color="000000"/>
        </w:rPr>
      </w:pPr>
    </w:p>
    <w:p w14:paraId="2399B561">
      <w:pPr>
        <w:rPr>
          <w:rFonts w:hint="default" w:ascii="宋体"/>
          <w:color w:val="auto"/>
          <w:kern w:val="0"/>
          <w:sz w:val="28"/>
          <w:szCs w:val="20"/>
          <w:lang w:val="en-US" w:eastAsia="zh-CN"/>
        </w:rPr>
      </w:pPr>
      <w:r>
        <w:rPr>
          <w:rFonts w:hint="default" w:ascii="宋体"/>
          <w:color w:val="auto"/>
          <w:kern w:val="0"/>
          <w:sz w:val="28"/>
          <w:szCs w:val="20"/>
          <w:lang w:val="en-US" w:eastAsia="zh-CN"/>
        </w:rPr>
        <w:br w:type="page"/>
      </w:r>
      <w:r>
        <w:rPr>
          <w:rFonts w:hint="default" w:ascii="宋体"/>
          <w:color w:val="auto"/>
          <w:kern w:val="0"/>
          <w:sz w:val="28"/>
          <w:szCs w:val="20"/>
          <w:lang w:val="en-US" w:eastAsia="zh-CN"/>
        </w:rPr>
        <w:drawing>
          <wp:inline distT="0" distB="0" distL="114300" distR="114300">
            <wp:extent cx="5758815" cy="4319270"/>
            <wp:effectExtent l="0" t="0" r="1905" b="8890"/>
            <wp:docPr id="8" name="图片 8" descr="84fa3f6785e108663f3f05edddf6a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4fa3f6785e108663f3f05edddf6a9f"/>
                    <pic:cNvPicPr>
                      <a:picLocks noChangeAspect="1"/>
                    </pic:cNvPicPr>
                  </pic:nvPicPr>
                  <pic:blipFill>
                    <a:blip r:embed="rId4"/>
                    <a:stretch>
                      <a:fillRect/>
                    </a:stretch>
                  </pic:blipFill>
                  <pic:spPr>
                    <a:xfrm>
                      <a:off x="0" y="0"/>
                      <a:ext cx="5758815" cy="431927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5758815" cy="4319270"/>
            <wp:effectExtent l="0" t="0" r="1905" b="8890"/>
            <wp:docPr id="9" name="图片 9" descr="8519667725ea8a0e57e733a1b353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519667725ea8a0e57e733a1b3534a0"/>
                    <pic:cNvPicPr>
                      <a:picLocks noChangeAspect="1"/>
                    </pic:cNvPicPr>
                  </pic:nvPicPr>
                  <pic:blipFill>
                    <a:blip r:embed="rId5"/>
                    <a:stretch>
                      <a:fillRect/>
                    </a:stretch>
                  </pic:blipFill>
                  <pic:spPr>
                    <a:xfrm>
                      <a:off x="0" y="0"/>
                      <a:ext cx="5758815" cy="431927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541270" cy="4518025"/>
            <wp:effectExtent l="0" t="0" r="3810" b="8255"/>
            <wp:docPr id="1" name="图片 1" descr="7b177e211c4cfceb250cf25b1a2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b177e211c4cfceb250cf25b1a21063"/>
                    <pic:cNvPicPr>
                      <a:picLocks noChangeAspect="1"/>
                    </pic:cNvPicPr>
                  </pic:nvPicPr>
                  <pic:blipFill>
                    <a:blip r:embed="rId6"/>
                    <a:stretch>
                      <a:fillRect/>
                    </a:stretch>
                  </pic:blipFill>
                  <pic:spPr>
                    <a:xfrm>
                      <a:off x="0" y="0"/>
                      <a:ext cx="2541270" cy="451802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98090" cy="4441825"/>
            <wp:effectExtent l="0" t="0" r="1270" b="8255"/>
            <wp:docPr id="2" name="图片 2" descr="e03e300bb784cb8a3b72cfa5b2a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03e300bb784cb8a3b72cfa5b2a3859"/>
                    <pic:cNvPicPr>
                      <a:picLocks noChangeAspect="1"/>
                    </pic:cNvPicPr>
                  </pic:nvPicPr>
                  <pic:blipFill>
                    <a:blip r:embed="rId7"/>
                    <a:stretch>
                      <a:fillRect/>
                    </a:stretch>
                  </pic:blipFill>
                  <pic:spPr>
                    <a:xfrm>
                      <a:off x="0" y="0"/>
                      <a:ext cx="2498090" cy="444182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342515" cy="4164965"/>
            <wp:effectExtent l="0" t="0" r="4445" b="10795"/>
            <wp:docPr id="5" name="图片 5" descr="6b79ccf33dc365c091e77756b13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b79ccf33dc365c091e77756b131672"/>
                    <pic:cNvPicPr>
                      <a:picLocks noChangeAspect="1"/>
                    </pic:cNvPicPr>
                  </pic:nvPicPr>
                  <pic:blipFill>
                    <a:blip r:embed="rId8"/>
                    <a:stretch>
                      <a:fillRect/>
                    </a:stretch>
                  </pic:blipFill>
                  <pic:spPr>
                    <a:xfrm>
                      <a:off x="0" y="0"/>
                      <a:ext cx="2342515" cy="416496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261870" cy="4021455"/>
            <wp:effectExtent l="0" t="0" r="8890" b="1905"/>
            <wp:docPr id="4" name="图片 4" descr="0404d965ad157a18ff3bb2d146954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404d965ad157a18ff3bb2d146954d3"/>
                    <pic:cNvPicPr>
                      <a:picLocks noChangeAspect="1"/>
                    </pic:cNvPicPr>
                  </pic:nvPicPr>
                  <pic:blipFill>
                    <a:blip r:embed="rId9"/>
                    <a:stretch>
                      <a:fillRect/>
                    </a:stretch>
                  </pic:blipFill>
                  <pic:spPr>
                    <a:xfrm>
                      <a:off x="0" y="0"/>
                      <a:ext cx="2261870" cy="402145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3662045" cy="2059940"/>
            <wp:effectExtent l="0" t="0" r="12700" b="10795"/>
            <wp:docPr id="3" name="图片 3" descr="e4cdf6b42d46771dad0556dd65a61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4cdf6b42d46771dad0556dd65a619c"/>
                    <pic:cNvPicPr>
                      <a:picLocks noChangeAspect="1"/>
                    </pic:cNvPicPr>
                  </pic:nvPicPr>
                  <pic:blipFill>
                    <a:blip r:embed="rId10"/>
                    <a:stretch>
                      <a:fillRect/>
                    </a:stretch>
                  </pic:blipFill>
                  <pic:spPr>
                    <a:xfrm rot="5400000">
                      <a:off x="0" y="0"/>
                      <a:ext cx="3662045" cy="2059940"/>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00E178C"/>
    <w:rsid w:val="03CC63D7"/>
    <w:rsid w:val="04F76473"/>
    <w:rsid w:val="07A11E1A"/>
    <w:rsid w:val="09D5345C"/>
    <w:rsid w:val="0A1C5EDC"/>
    <w:rsid w:val="0A27015B"/>
    <w:rsid w:val="0A5D5908"/>
    <w:rsid w:val="0BD51C61"/>
    <w:rsid w:val="0EDC1223"/>
    <w:rsid w:val="12386C7D"/>
    <w:rsid w:val="13D12EE6"/>
    <w:rsid w:val="141A7924"/>
    <w:rsid w:val="153C4810"/>
    <w:rsid w:val="160D5A33"/>
    <w:rsid w:val="16BC1C2B"/>
    <w:rsid w:val="1C4A2E55"/>
    <w:rsid w:val="1DE92E23"/>
    <w:rsid w:val="1E1E483E"/>
    <w:rsid w:val="1F5B398D"/>
    <w:rsid w:val="1FF73CD4"/>
    <w:rsid w:val="22CB7136"/>
    <w:rsid w:val="284F788D"/>
    <w:rsid w:val="2A9D36CA"/>
    <w:rsid w:val="2CBC252D"/>
    <w:rsid w:val="2E5E68CC"/>
    <w:rsid w:val="2EC41433"/>
    <w:rsid w:val="2F917EEC"/>
    <w:rsid w:val="31297B3A"/>
    <w:rsid w:val="355F439E"/>
    <w:rsid w:val="35CC29B8"/>
    <w:rsid w:val="361E3E5D"/>
    <w:rsid w:val="37A6654A"/>
    <w:rsid w:val="386A7D3B"/>
    <w:rsid w:val="38B36882"/>
    <w:rsid w:val="3BB85D78"/>
    <w:rsid w:val="3C176B62"/>
    <w:rsid w:val="420C1409"/>
    <w:rsid w:val="43CB4C37"/>
    <w:rsid w:val="4706325F"/>
    <w:rsid w:val="47290367"/>
    <w:rsid w:val="48FE4AE5"/>
    <w:rsid w:val="4ECC7680"/>
    <w:rsid w:val="4F5D6EDB"/>
    <w:rsid w:val="53694991"/>
    <w:rsid w:val="537F016A"/>
    <w:rsid w:val="563D798B"/>
    <w:rsid w:val="567C6788"/>
    <w:rsid w:val="579A241E"/>
    <w:rsid w:val="58840D76"/>
    <w:rsid w:val="5C8B1D2D"/>
    <w:rsid w:val="5D511379"/>
    <w:rsid w:val="60FB542C"/>
    <w:rsid w:val="636808F8"/>
    <w:rsid w:val="64FD4259"/>
    <w:rsid w:val="69194288"/>
    <w:rsid w:val="6A640607"/>
    <w:rsid w:val="6AD40467"/>
    <w:rsid w:val="6B3179BA"/>
    <w:rsid w:val="6BF95CAB"/>
    <w:rsid w:val="6C4D48B3"/>
    <w:rsid w:val="6D0669CA"/>
    <w:rsid w:val="6FDF53A7"/>
    <w:rsid w:val="717A11AE"/>
    <w:rsid w:val="72FD2CFB"/>
    <w:rsid w:val="74AE7C8C"/>
    <w:rsid w:val="76511CAD"/>
    <w:rsid w:val="769C7074"/>
    <w:rsid w:val="7772596D"/>
    <w:rsid w:val="788E5851"/>
    <w:rsid w:val="7982503D"/>
    <w:rsid w:val="7AB02F22"/>
    <w:rsid w:val="7B7179AA"/>
    <w:rsid w:val="7C9C2DAE"/>
    <w:rsid w:val="7DCC38D1"/>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5"/>
    <w:next w:val="1"/>
    <w:qFormat/>
    <w:uiPriority w:val="0"/>
    <w:pPr>
      <w:ind w:firstLine="420" w:firstLineChars="100"/>
    </w:pPr>
    <w:rPr>
      <w:b/>
      <w:u w:val="single"/>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2741</Words>
  <Characters>2963</Characters>
  <Lines>0</Lines>
  <Paragraphs>0</Paragraphs>
  <TotalTime>4</TotalTime>
  <ScaleCrop>false</ScaleCrop>
  <LinksUpToDate>false</LinksUpToDate>
  <CharactersWithSpaces>2979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刘文锋</cp:lastModifiedBy>
  <dcterms:modified xsi:type="dcterms:W3CDTF">2025-09-23T03:32:06Z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