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1"/>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泰安市泰山景区泰金加油站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7F3BEC53">
            <w:pPr>
              <w:adjustRightInd w:val="0"/>
              <w:snapToGrid w:val="0"/>
              <w:rPr>
                <w:rFonts w:hint="eastAsia" w:ascii="宋体" w:hAnsi="宋体"/>
                <w:sz w:val="20"/>
                <w:lang w:eastAsia="zh-CN"/>
              </w:rPr>
            </w:pPr>
            <w:r>
              <w:rPr>
                <w:rFonts w:hint="eastAsia" w:ascii="宋体" w:hAnsi="宋体"/>
                <w:sz w:val="20"/>
                <w:lang w:eastAsia="zh-CN"/>
              </w:rPr>
              <w:t>泰安市泰山景区泰金加油站有限公司位于山东省泰安市大津口乡政府向北一公里路南开明路2号，加油站西侧是大金口建筑发展有限公司（沿街房，三类保护物），南侧是鱼塘，东侧是民房（三类保护物），北侧是开明路（乡道）。该站经营许可范围为汽油、柴油，现其主要经营储存汽油、0#柴油（换季销售-10#柴油）。此次现状评价报告与上次报告相比，将2台双枪加油机更改为2台四枪加油机、液位仪更换、油罐取消隔舱、1根通气管闲置，其余周边环境、主要建构筑物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罩棚、油罐区、加油区等。加油区在站房北侧，现有2台双枪加油机（92#汽油/柴油、92#/95#汽油），2台四枪加油机（92#汽油/柴油、92#/95#汽油），均为潜油泵式；油罐区位于站房南侧非车行道下方，现有3台双层储罐（1台30m392#汽油罐、1台20m395#汽油罐、1台30m3柴油罐；3台油罐均安装了液位仪、检漏仪；汽油、柴油卸油口位于罐区西侧；通气管5根位于罐区内（其中油气回收处理装置1根，另外闲置1根），该站设有三次油气回收系统（卸油油气回收系统、加油油气回收系统、油气回收处理装置）；洗车机位于站房西侧、危废暂存间和仓库位于罐区西南侧、发电机房和洗车机蓄水池位于罐区西侧；按《汽车加油加气加氢站技术标准》GB50156-2021标准规定：油罐总储量为80m³，柴油储罐容积折半计入总容积为65m³，该站属三级加油站</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辛  磊</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2025.07.07</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2025.08.05</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08.12</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1369B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B610977">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0F6726">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2025.08.13</w:t>
            </w:r>
          </w:p>
        </w:tc>
        <w:tc>
          <w:tcPr>
            <w:tcW w:w="2350" w:type="dxa"/>
            <w:tcBorders>
              <w:tl2br w:val="nil"/>
              <w:tr2bl w:val="nil"/>
            </w:tcBorders>
            <w:shd w:val="clear" w:color="auto" w:fill="auto"/>
            <w:noWrap/>
            <w:vAlign w:val="center"/>
          </w:tcPr>
          <w:p w14:paraId="74214941">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43632CA">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现场核查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08.16</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6"/>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44845" cy="8231505"/>
            <wp:effectExtent l="0" t="0" r="8255" b="171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744845" cy="8231505"/>
                    </a:xfrm>
                    <a:prstGeom prst="rect">
                      <a:avLst/>
                    </a:prstGeom>
                  </pic:spPr>
                </pic:pic>
              </a:graphicData>
            </a:graphic>
          </wp:inline>
        </w:drawing>
      </w:r>
      <w:r>
        <w:rPr>
          <w:rFonts w:hint="eastAsia" w:eastAsia="宋体" w:cs="宋体"/>
          <w:color w:val="auto"/>
          <w:lang w:eastAsia="zh-CN"/>
        </w:rPr>
        <w:drawing>
          <wp:inline distT="0" distB="0" distL="114300" distR="114300">
            <wp:extent cx="5760720" cy="8481060"/>
            <wp:effectExtent l="0" t="0" r="11430" b="1524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760720" cy="8481060"/>
                    </a:xfrm>
                    <a:prstGeom prst="rect">
                      <a:avLst/>
                    </a:prstGeom>
                  </pic:spPr>
                </pic:pic>
              </a:graphicData>
            </a:graphic>
          </wp:inline>
        </w:drawing>
      </w:r>
      <w:r>
        <w:rPr>
          <w:rFonts w:hint="eastAsia" w:eastAsia="宋体" w:cs="宋体"/>
          <w:color w:val="auto"/>
          <w:lang w:eastAsia="zh-CN"/>
        </w:rPr>
        <w:drawing>
          <wp:inline distT="0" distB="0" distL="114300" distR="114300">
            <wp:extent cx="5760720" cy="8655050"/>
            <wp:effectExtent l="0" t="0" r="11430" b="1270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6"/>
                    <a:stretch>
                      <a:fillRect/>
                    </a:stretch>
                  </pic:blipFill>
                  <pic:spPr>
                    <a:xfrm>
                      <a:off x="0" y="0"/>
                      <a:ext cx="5760720" cy="8655050"/>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泰安市泰山景区泰金加油站</w:t>
      </w:r>
      <w:r>
        <w:rPr>
          <w:rFonts w:hint="eastAsia" w:ascii="宋体" w:hAnsi="宋体" w:eastAsia="宋体" w:cs="宋体"/>
          <w:kern w:val="0"/>
          <w:sz w:val="24"/>
        </w:rPr>
        <w:t>安全现状评价现场照片</w:t>
      </w:r>
    </w:p>
    <w:p w14:paraId="378CA0D8">
      <w:pPr>
        <w:pStyle w:val="6"/>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532120" cy="4149090"/>
            <wp:effectExtent l="0" t="0" r="11430" b="3810"/>
            <wp:docPr id="5" name="图片 5" descr="IMG_20250812_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812_155706"/>
                    <pic:cNvPicPr>
                      <a:picLocks noChangeAspect="1"/>
                    </pic:cNvPicPr>
                  </pic:nvPicPr>
                  <pic:blipFill>
                    <a:blip r:embed="rId7"/>
                    <a:stretch>
                      <a:fillRect/>
                    </a:stretch>
                  </pic:blipFill>
                  <pic:spPr>
                    <a:xfrm>
                      <a:off x="0" y="0"/>
                      <a:ext cx="5532120" cy="4149090"/>
                    </a:xfrm>
                    <a:prstGeom prst="rect">
                      <a:avLst/>
                    </a:prstGeom>
                  </pic:spPr>
                </pic:pic>
              </a:graphicData>
            </a:graphic>
          </wp:inline>
        </w:drawing>
      </w:r>
      <w:r>
        <w:rPr>
          <w:rFonts w:hint="eastAsia" w:eastAsiaTheme="minorEastAsia"/>
          <w:lang w:eastAsia="zh-CN"/>
        </w:rPr>
        <w:drawing>
          <wp:inline distT="0" distB="0" distL="114300" distR="114300">
            <wp:extent cx="5541645" cy="4156075"/>
            <wp:effectExtent l="0" t="0" r="1905" b="15875"/>
            <wp:docPr id="4" name="图片 4" descr="IMG_20250812_15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812_155740"/>
                    <pic:cNvPicPr>
                      <a:picLocks noChangeAspect="1"/>
                    </pic:cNvPicPr>
                  </pic:nvPicPr>
                  <pic:blipFill>
                    <a:blip r:embed="rId8"/>
                    <a:stretch>
                      <a:fillRect/>
                    </a:stretch>
                  </pic:blipFill>
                  <pic:spPr>
                    <a:xfrm>
                      <a:off x="0" y="0"/>
                      <a:ext cx="5541645" cy="4156075"/>
                    </a:xfrm>
                    <a:prstGeom prst="rect">
                      <a:avLst/>
                    </a:prstGeom>
                  </pic:spPr>
                </pic:pic>
              </a:graphicData>
            </a:graphic>
          </wp:inline>
        </w:drawing>
      </w:r>
    </w:p>
    <w:p w14:paraId="6E9A4C08">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102633969"/>
      <w:bookmarkStart w:id="1" w:name="_Toc8295"/>
      <w:bookmarkStart w:id="2" w:name="_Toc102634395"/>
      <w:bookmarkStart w:id="3" w:name="_Toc15033742"/>
      <w:bookmarkStart w:id="4" w:name="_Toc102633895"/>
      <w:bookmarkStart w:id="5" w:name="_Toc102634226"/>
      <w:r>
        <w:rPr>
          <w:rFonts w:hint="eastAsia"/>
          <w:color w:val="auto"/>
          <w:highlight w:val="none"/>
        </w:rPr>
        <w:t>第二章 加油站概况</w:t>
      </w:r>
      <w:bookmarkEnd w:id="0"/>
      <w:bookmarkEnd w:id="1"/>
      <w:bookmarkEnd w:id="2"/>
      <w:bookmarkEnd w:id="3"/>
      <w:bookmarkEnd w:id="4"/>
      <w:bookmarkEnd w:id="5"/>
    </w:p>
    <w:p w14:paraId="75DFB68C">
      <w:pPr>
        <w:pStyle w:val="3"/>
        <w:spacing w:before="312" w:beforeLines="100" w:after="312" w:afterLines="100" w:line="360" w:lineRule="auto"/>
        <w:ind w:firstLine="0"/>
        <w:rPr>
          <w:rFonts w:hint="eastAsia"/>
          <w:color w:val="auto"/>
          <w:highlight w:val="none"/>
        </w:rPr>
      </w:pPr>
      <w:bookmarkStart w:id="6" w:name="_Toc102633970"/>
      <w:bookmarkStart w:id="7" w:name="_Toc13779"/>
      <w:bookmarkStart w:id="8" w:name="_Toc102634396"/>
      <w:bookmarkStart w:id="9" w:name="_Toc15033743"/>
      <w:bookmarkStart w:id="10" w:name="_Toc102634227"/>
      <w:bookmarkStart w:id="11" w:name="_Toc208733856"/>
      <w:bookmarkStart w:id="12" w:name="_Toc26504"/>
      <w:bookmarkStart w:id="13" w:name="_Toc272364524"/>
      <w:bookmarkStart w:id="14" w:name="_Toc102633896"/>
      <w:bookmarkStart w:id="15" w:name="_Toc30066"/>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5AA9B854">
      <w:pPr>
        <w:adjustRightInd w:val="0"/>
        <w:snapToGrid w:val="0"/>
        <w:spacing w:line="360" w:lineRule="auto"/>
        <w:ind w:firstLine="560" w:firstLineChars="200"/>
        <w:rPr>
          <w:rFonts w:ascii="宋体"/>
          <w:color w:val="auto"/>
          <w:highlight w:val="none"/>
        </w:rPr>
      </w:pPr>
      <w:r>
        <w:rPr>
          <w:rFonts w:hint="eastAsia" w:ascii="宋体" w:hAnsi="宋体"/>
          <w:color w:val="auto"/>
          <w:sz w:val="28"/>
          <w:szCs w:val="28"/>
          <w:highlight w:val="none"/>
          <w:lang w:eastAsia="zh-CN"/>
        </w:rPr>
        <w:t>泰安市泰山景区泰金加油站有限公司</w:t>
      </w:r>
      <w:r>
        <w:rPr>
          <w:rFonts w:hint="eastAsia" w:ascii="宋体" w:hAnsi="宋体"/>
          <w:color w:val="auto"/>
          <w:sz w:val="28"/>
          <w:szCs w:val="28"/>
          <w:highlight w:val="none"/>
        </w:rPr>
        <w:t>位于</w:t>
      </w:r>
      <w:r>
        <w:rPr>
          <w:rFonts w:hint="eastAsia" w:ascii="宋体" w:hAnsi="宋体"/>
          <w:color w:val="auto"/>
          <w:sz w:val="28"/>
          <w:highlight w:val="none"/>
          <w:lang w:eastAsia="zh-CN"/>
        </w:rPr>
        <w:t>山东省泰安市大津口乡政府向北一公里路南开明路2号</w:t>
      </w:r>
      <w:r>
        <w:rPr>
          <w:rFonts w:hint="eastAsia" w:ascii="宋体" w:hAnsi="宋体"/>
          <w:color w:val="auto"/>
          <w:sz w:val="28"/>
          <w:szCs w:val="28"/>
          <w:highlight w:val="none"/>
        </w:rPr>
        <w:t>，</w:t>
      </w:r>
      <w:r>
        <w:rPr>
          <w:rFonts w:hint="eastAsia" w:ascii="宋体" w:hAnsi="宋体" w:cs="宋体"/>
          <w:color w:val="auto"/>
          <w:sz w:val="28"/>
          <w:szCs w:val="28"/>
          <w:highlight w:val="none"/>
        </w:rPr>
        <w:t>加油站</w:t>
      </w:r>
      <w:r>
        <w:rPr>
          <w:rFonts w:hint="eastAsia" w:ascii="宋体" w:hAnsi="宋体"/>
          <w:snapToGrid w:val="0"/>
          <w:color w:val="auto"/>
          <w:kern w:val="0"/>
          <w:sz w:val="28"/>
          <w:highlight w:val="none"/>
          <w:lang w:eastAsia="zh-CN"/>
        </w:rPr>
        <w:t>西侧是大金口建筑发展有限公司（沿街房，三类保护物），南侧是鱼塘，东侧是民房（三类保护物），北侧是开明路（乡道）</w:t>
      </w:r>
      <w:r>
        <w:rPr>
          <w:rFonts w:hint="eastAsia" w:ascii="宋体" w:hAnsi="宋体"/>
          <w:color w:val="auto"/>
          <w:sz w:val="28"/>
          <w:szCs w:val="28"/>
          <w:highlight w:val="none"/>
          <w:lang w:eastAsia="zh-CN"/>
        </w:rPr>
        <w:t>。</w:t>
      </w:r>
      <w:r>
        <w:rPr>
          <w:rFonts w:hint="eastAsia" w:ascii="宋体" w:hAnsi="宋体"/>
          <w:color w:val="auto"/>
          <w:sz w:val="28"/>
          <w:highlight w:val="none"/>
        </w:rPr>
        <w:t>该站经营许可范围为</w:t>
      </w:r>
      <w:r>
        <w:rPr>
          <w:rFonts w:hint="eastAsia" w:asciiTheme="minorEastAsia" w:hAnsiTheme="minorEastAsia" w:eastAsiaTheme="minorEastAsia" w:cstheme="minorEastAsia"/>
          <w:color w:val="auto"/>
          <w:sz w:val="28"/>
          <w:szCs w:val="28"/>
          <w:highlight w:val="none"/>
        </w:rPr>
        <w:t>汽油、</w:t>
      </w:r>
      <w:r>
        <w:rPr>
          <w:rFonts w:hint="eastAsia" w:ascii="宋体" w:hAnsi="宋体"/>
          <w:color w:val="auto"/>
          <w:sz w:val="28"/>
          <w:highlight w:val="none"/>
        </w:rPr>
        <w:t>柴油，现其主要经营储存汽油、0#柴油（换季销售-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此次现状评价报告与上次报告相比，</w:t>
      </w:r>
      <w:r>
        <w:rPr>
          <w:rFonts w:hint="eastAsia" w:ascii="宋体" w:hAnsi="宋体"/>
          <w:color w:val="auto"/>
          <w:sz w:val="28"/>
          <w:highlight w:val="none"/>
          <w:lang w:val="en-US" w:eastAsia="zh-CN"/>
        </w:rPr>
        <w:t>将2台双枪加油机更改为2台四枪加油机、液位仪更换、油罐取消隔舱、1根通气管闲置，其余</w:t>
      </w:r>
      <w:r>
        <w:rPr>
          <w:rFonts w:hint="eastAsia" w:ascii="宋体" w:hAnsi="宋体"/>
          <w:color w:val="auto"/>
          <w:sz w:val="28"/>
          <w:highlight w:val="none"/>
        </w:rPr>
        <w:t>周边环境、主要建构筑物未发生变化。</w:t>
      </w:r>
    </w:p>
    <w:p w14:paraId="3C1164D4">
      <w:pPr>
        <w:pStyle w:val="17"/>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该加油站主要建有站房、罩棚、油罐区、加油区等。加油区在站房</w:t>
      </w:r>
      <w:r>
        <w:rPr>
          <w:rFonts w:hint="eastAsia" w:ascii="宋体" w:hAnsi="宋体"/>
          <w:color w:val="auto"/>
          <w:szCs w:val="28"/>
          <w:highlight w:val="none"/>
          <w:lang w:val="en-US" w:eastAsia="zh-CN"/>
        </w:rPr>
        <w:t>北</w:t>
      </w:r>
      <w:r>
        <w:rPr>
          <w:rFonts w:hint="eastAsia" w:ascii="宋体" w:hAnsi="宋体"/>
          <w:color w:val="auto"/>
          <w:szCs w:val="28"/>
          <w:highlight w:val="none"/>
        </w:rPr>
        <w:t>侧，</w:t>
      </w:r>
      <w:r>
        <w:rPr>
          <w:rFonts w:hint="eastAsia" w:ascii="宋体" w:hAnsi="宋体"/>
          <w:color w:val="auto"/>
          <w:kern w:val="2"/>
          <w:szCs w:val="21"/>
          <w:highlight w:val="none"/>
        </w:rPr>
        <w:t>现有</w:t>
      </w:r>
      <w:r>
        <w:rPr>
          <w:rFonts w:hint="eastAsia" w:ascii="宋体" w:hAnsi="宋体"/>
          <w:color w:val="auto"/>
          <w:kern w:val="2"/>
          <w:szCs w:val="21"/>
          <w:highlight w:val="none"/>
          <w:lang w:val="en-US" w:eastAsia="zh-CN"/>
        </w:rPr>
        <w:t>2</w:t>
      </w:r>
      <w:r>
        <w:rPr>
          <w:rFonts w:hint="eastAsia"/>
          <w:color w:val="auto"/>
          <w:highlight w:val="none"/>
        </w:rPr>
        <w:t>台</w:t>
      </w:r>
      <w:r>
        <w:rPr>
          <w:rFonts w:hint="eastAsia"/>
          <w:color w:val="auto"/>
          <w:highlight w:val="none"/>
          <w:lang w:val="en-US" w:eastAsia="zh-CN"/>
        </w:rPr>
        <w:t>双</w:t>
      </w:r>
      <w:r>
        <w:rPr>
          <w:rFonts w:hint="eastAsia"/>
          <w:color w:val="auto"/>
          <w:highlight w:val="none"/>
        </w:rPr>
        <w:t>枪加油机（</w:t>
      </w:r>
      <w:r>
        <w:rPr>
          <w:rFonts w:hint="eastAsia"/>
          <w:color w:val="auto"/>
          <w:highlight w:val="none"/>
          <w:lang w:val="en-US" w:eastAsia="zh-CN"/>
        </w:rPr>
        <w:t>92#汽油/柴油、92#/95#汽油</w:t>
      </w:r>
      <w:r>
        <w:rPr>
          <w:rFonts w:hint="eastAsia"/>
          <w:color w:val="auto"/>
          <w:highlight w:val="none"/>
        </w:rPr>
        <w:t>），</w:t>
      </w:r>
      <w:r>
        <w:rPr>
          <w:rFonts w:hint="eastAsia"/>
          <w:color w:val="auto"/>
          <w:highlight w:val="none"/>
          <w:lang w:val="en-US" w:eastAsia="zh-CN"/>
        </w:rPr>
        <w:t>2</w:t>
      </w:r>
      <w:r>
        <w:rPr>
          <w:rFonts w:hint="eastAsia"/>
          <w:color w:val="auto"/>
          <w:highlight w:val="none"/>
        </w:rPr>
        <w:t>台</w:t>
      </w:r>
      <w:r>
        <w:rPr>
          <w:rFonts w:hint="eastAsia"/>
          <w:color w:val="auto"/>
          <w:highlight w:val="none"/>
          <w:lang w:val="en-US" w:eastAsia="zh-CN"/>
        </w:rPr>
        <w:t>四</w:t>
      </w:r>
      <w:r>
        <w:rPr>
          <w:rFonts w:hint="eastAsia"/>
          <w:color w:val="auto"/>
          <w:highlight w:val="none"/>
        </w:rPr>
        <w:t>枪加油机（</w:t>
      </w:r>
      <w:r>
        <w:rPr>
          <w:rFonts w:hint="eastAsia"/>
          <w:color w:val="auto"/>
          <w:highlight w:val="none"/>
          <w:lang w:val="en-US" w:eastAsia="zh-CN"/>
        </w:rPr>
        <w:t>92#汽油/柴油、</w:t>
      </w:r>
      <w:r>
        <w:rPr>
          <w:rFonts w:hint="eastAsia"/>
          <w:color w:val="auto"/>
          <w:highlight w:val="none"/>
        </w:rPr>
        <w:t>92#</w:t>
      </w:r>
      <w:r>
        <w:rPr>
          <w:rFonts w:hint="eastAsia"/>
          <w:color w:val="auto"/>
          <w:highlight w:val="none"/>
          <w:lang w:val="en-US" w:eastAsia="zh-CN"/>
        </w:rPr>
        <w:t>/95#</w:t>
      </w:r>
      <w:r>
        <w:rPr>
          <w:rFonts w:hint="eastAsia"/>
          <w:color w:val="auto"/>
          <w:highlight w:val="none"/>
        </w:rPr>
        <w:t>汽油）</w:t>
      </w:r>
      <w:r>
        <w:rPr>
          <w:rFonts w:hint="eastAsia" w:ascii="宋体" w:hAnsi="宋体"/>
          <w:color w:val="auto"/>
          <w:kern w:val="2"/>
          <w:szCs w:val="21"/>
          <w:highlight w:val="none"/>
        </w:rPr>
        <w:t>，均为</w:t>
      </w:r>
      <w:r>
        <w:rPr>
          <w:rFonts w:hint="eastAsia" w:ascii="宋体" w:hAnsi="宋体"/>
          <w:color w:val="auto"/>
          <w:kern w:val="2"/>
          <w:szCs w:val="21"/>
          <w:highlight w:val="none"/>
          <w:lang w:val="en-US" w:eastAsia="zh-CN"/>
        </w:rPr>
        <w:t>潜油泵</w:t>
      </w:r>
      <w:r>
        <w:rPr>
          <w:rFonts w:hint="eastAsia" w:ascii="宋体" w:hAnsi="宋体"/>
          <w:color w:val="auto"/>
          <w:kern w:val="2"/>
          <w:szCs w:val="21"/>
          <w:highlight w:val="none"/>
        </w:rPr>
        <w:t>式</w:t>
      </w:r>
      <w:r>
        <w:rPr>
          <w:rFonts w:hint="eastAsia" w:ascii="宋体"/>
          <w:color w:val="auto"/>
          <w:highlight w:val="none"/>
        </w:rPr>
        <w:t>；</w:t>
      </w:r>
      <w:r>
        <w:rPr>
          <w:rFonts w:hint="eastAsia" w:ascii="宋体" w:hAnsi="宋体"/>
          <w:color w:val="auto"/>
          <w:szCs w:val="28"/>
          <w:highlight w:val="none"/>
        </w:rPr>
        <w:t>油罐区位于站房</w:t>
      </w:r>
      <w:r>
        <w:rPr>
          <w:rFonts w:hint="eastAsia" w:ascii="宋体" w:hAnsi="宋体"/>
          <w:color w:val="auto"/>
          <w:szCs w:val="28"/>
          <w:highlight w:val="none"/>
          <w:lang w:val="en-US" w:eastAsia="zh-CN"/>
        </w:rPr>
        <w:t>南</w:t>
      </w:r>
      <w:r>
        <w:rPr>
          <w:rFonts w:hint="eastAsia" w:ascii="宋体" w:hAnsi="宋体"/>
          <w:color w:val="auto"/>
          <w:szCs w:val="28"/>
          <w:highlight w:val="none"/>
        </w:rPr>
        <w:t>侧</w:t>
      </w:r>
      <w:r>
        <w:rPr>
          <w:rFonts w:hint="eastAsia" w:ascii="宋体" w:hAnsi="宋体"/>
          <w:color w:val="auto"/>
          <w:szCs w:val="28"/>
          <w:highlight w:val="none"/>
          <w:lang w:val="en-US" w:eastAsia="zh-CN"/>
        </w:rPr>
        <w:t>非</w:t>
      </w:r>
      <w:r>
        <w:rPr>
          <w:rFonts w:hint="eastAsia" w:ascii="宋体" w:hAnsi="宋体"/>
          <w:color w:val="auto"/>
          <w:szCs w:val="28"/>
          <w:highlight w:val="none"/>
        </w:rPr>
        <w:t>车行道下方，</w:t>
      </w:r>
      <w:r>
        <w:rPr>
          <w:rFonts w:hint="eastAsia" w:ascii="宋体"/>
          <w:color w:val="auto"/>
          <w:highlight w:val="none"/>
        </w:rPr>
        <w:t>现有</w:t>
      </w:r>
      <w:r>
        <w:rPr>
          <w:rFonts w:hint="eastAsia" w:ascii="宋体"/>
          <w:color w:val="auto"/>
          <w:highlight w:val="none"/>
          <w:lang w:val="en-US" w:eastAsia="zh-CN"/>
        </w:rPr>
        <w:t>3</w:t>
      </w:r>
      <w:r>
        <w:rPr>
          <w:rFonts w:hint="eastAsia"/>
          <w:color w:val="auto"/>
          <w:highlight w:val="none"/>
        </w:rPr>
        <w:t>台双层储罐（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92#汽油罐、1台</w:t>
      </w:r>
      <w:r>
        <w:rPr>
          <w:rFonts w:hint="eastAsia"/>
          <w:color w:val="auto"/>
          <w:highlight w:val="none"/>
          <w:lang w:val="en-US" w:eastAsia="zh-CN"/>
        </w:rPr>
        <w:t>2</w:t>
      </w:r>
      <w:r>
        <w:rPr>
          <w:rFonts w:hint="eastAsia"/>
          <w:color w:val="auto"/>
          <w:highlight w:val="none"/>
        </w:rPr>
        <w:t>0m</w:t>
      </w:r>
      <w:r>
        <w:rPr>
          <w:rFonts w:hint="eastAsia"/>
          <w:color w:val="auto"/>
          <w:highlight w:val="none"/>
          <w:vertAlign w:val="superscript"/>
        </w:rPr>
        <w:t>3</w:t>
      </w:r>
      <w:r>
        <w:rPr>
          <w:rFonts w:hint="eastAsia"/>
          <w:color w:val="auto"/>
          <w:highlight w:val="none"/>
        </w:rPr>
        <w:t>95#汽油罐、1台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ascii="宋体" w:hAnsi="宋体"/>
          <w:color w:val="auto"/>
          <w:szCs w:val="28"/>
          <w:highlight w:val="none"/>
        </w:rPr>
        <w:t>；</w:t>
      </w:r>
      <w:r>
        <w:rPr>
          <w:rFonts w:hint="eastAsia" w:ascii="宋体" w:hAnsi="宋体"/>
          <w:color w:val="auto"/>
          <w:szCs w:val="28"/>
          <w:highlight w:val="none"/>
          <w:lang w:val="en-US" w:eastAsia="zh-CN"/>
        </w:rPr>
        <w:t>3</w:t>
      </w:r>
      <w:r>
        <w:rPr>
          <w:rFonts w:hint="eastAsia" w:ascii="宋体" w:hAnsi="宋体"/>
          <w:color w:val="auto"/>
          <w:szCs w:val="28"/>
          <w:highlight w:val="none"/>
        </w:rPr>
        <w:t>台油罐均安装了液位仪、检漏仪</w:t>
      </w:r>
      <w:r>
        <w:rPr>
          <w:rFonts w:hint="eastAsia" w:ascii="宋体"/>
          <w:color w:val="auto"/>
          <w:highlight w:val="none"/>
        </w:rPr>
        <w:t>；汽油、柴油卸油口位于</w:t>
      </w:r>
      <w:r>
        <w:rPr>
          <w:rFonts w:hint="eastAsia" w:ascii="宋体"/>
          <w:color w:val="auto"/>
          <w:highlight w:val="none"/>
          <w:lang w:val="en-US" w:eastAsia="zh-CN"/>
        </w:rPr>
        <w:t>罐</w:t>
      </w:r>
      <w:r>
        <w:rPr>
          <w:rFonts w:hint="eastAsia" w:ascii="宋体"/>
          <w:color w:val="auto"/>
          <w:highlight w:val="none"/>
        </w:rPr>
        <w:t>区</w:t>
      </w:r>
      <w:r>
        <w:rPr>
          <w:rFonts w:hint="eastAsia" w:ascii="宋体"/>
          <w:color w:val="auto"/>
          <w:highlight w:val="none"/>
          <w:lang w:val="en-US" w:eastAsia="zh-CN"/>
        </w:rPr>
        <w:t>西</w:t>
      </w:r>
      <w:r>
        <w:rPr>
          <w:rFonts w:hint="eastAsia" w:ascii="宋体"/>
          <w:color w:val="auto"/>
          <w:highlight w:val="none"/>
        </w:rPr>
        <w:t>侧；</w:t>
      </w:r>
      <w:r>
        <w:rPr>
          <w:rFonts w:hint="eastAsia" w:ascii="宋体" w:hAnsi="宋体"/>
          <w:color w:val="auto"/>
          <w:szCs w:val="28"/>
          <w:highlight w:val="none"/>
        </w:rPr>
        <w:t>通气管</w:t>
      </w:r>
      <w:r>
        <w:rPr>
          <w:rFonts w:hint="eastAsia" w:ascii="宋体" w:hAnsi="宋体"/>
          <w:color w:val="auto"/>
          <w:szCs w:val="28"/>
          <w:highlight w:val="none"/>
          <w:lang w:val="en-US" w:eastAsia="zh-CN"/>
        </w:rPr>
        <w:t>5</w:t>
      </w:r>
      <w:r>
        <w:rPr>
          <w:rFonts w:hint="eastAsia" w:ascii="宋体" w:hAnsi="宋体"/>
          <w:color w:val="auto"/>
          <w:szCs w:val="28"/>
          <w:highlight w:val="none"/>
        </w:rPr>
        <w:t>根位于</w:t>
      </w:r>
      <w:r>
        <w:rPr>
          <w:rFonts w:hint="eastAsia" w:ascii="宋体" w:hAnsi="宋体"/>
          <w:color w:val="auto"/>
          <w:szCs w:val="28"/>
          <w:highlight w:val="none"/>
          <w:lang w:val="en-US" w:eastAsia="zh-CN"/>
        </w:rPr>
        <w:t>罐区内（其中油气回收处理装置1根，另外闲置1根）</w:t>
      </w:r>
      <w:r>
        <w:rPr>
          <w:rFonts w:hint="eastAsia" w:ascii="宋体" w:hAnsi="宋体"/>
          <w:color w:val="auto"/>
          <w:szCs w:val="28"/>
          <w:highlight w:val="none"/>
        </w:rPr>
        <w:t>，该站设有三次油气回收系统（卸油油气回收系统、加油油气回收系统、油气回收处理装置）；洗车</w:t>
      </w:r>
      <w:r>
        <w:rPr>
          <w:rFonts w:hint="eastAsia" w:ascii="宋体" w:hAnsi="宋体"/>
          <w:color w:val="auto"/>
          <w:szCs w:val="28"/>
          <w:highlight w:val="none"/>
          <w:lang w:val="en-US" w:eastAsia="zh-CN"/>
        </w:rPr>
        <w:t>机</w:t>
      </w:r>
      <w:r>
        <w:rPr>
          <w:rFonts w:hint="eastAsia" w:ascii="宋体" w:hAnsi="宋体"/>
          <w:color w:val="auto"/>
          <w:szCs w:val="28"/>
          <w:highlight w:val="none"/>
        </w:rPr>
        <w:t>位于</w:t>
      </w:r>
      <w:r>
        <w:rPr>
          <w:rFonts w:hint="eastAsia" w:ascii="宋体" w:hAnsi="宋体"/>
          <w:color w:val="auto"/>
          <w:szCs w:val="28"/>
          <w:highlight w:val="none"/>
          <w:lang w:val="en-US" w:eastAsia="zh-CN"/>
        </w:rPr>
        <w:t>站房西</w:t>
      </w:r>
      <w:r>
        <w:rPr>
          <w:rFonts w:hint="eastAsia" w:ascii="宋体" w:hAnsi="宋体"/>
          <w:color w:val="auto"/>
          <w:szCs w:val="28"/>
          <w:highlight w:val="none"/>
        </w:rPr>
        <w:t>侧</w:t>
      </w:r>
      <w:r>
        <w:rPr>
          <w:rFonts w:hint="eastAsia" w:ascii="宋体" w:hAnsi="宋体"/>
          <w:color w:val="auto"/>
          <w:szCs w:val="28"/>
          <w:highlight w:val="none"/>
          <w:lang w:eastAsia="zh-CN"/>
        </w:rPr>
        <w:t>、</w:t>
      </w:r>
      <w:r>
        <w:rPr>
          <w:rFonts w:hint="eastAsia" w:ascii="宋体" w:hAnsi="宋体"/>
          <w:color w:val="auto"/>
          <w:szCs w:val="28"/>
          <w:highlight w:val="none"/>
          <w:lang w:val="en-US" w:eastAsia="zh-CN"/>
        </w:rPr>
        <w:t>危废暂存间和仓库位于罐区西南侧、发电机房和洗车机蓄水池位于罐区西侧</w:t>
      </w:r>
      <w:r>
        <w:rPr>
          <w:rFonts w:hint="eastAsia" w:ascii="宋体" w:hAnsi="宋体"/>
          <w:color w:val="auto"/>
          <w:szCs w:val="28"/>
          <w:highlight w:val="none"/>
        </w:rPr>
        <w:t>；</w:t>
      </w:r>
      <w:r>
        <w:rPr>
          <w:rFonts w:hint="eastAsia" w:ascii="宋体"/>
          <w:color w:val="auto"/>
          <w:highlight w:val="none"/>
        </w:rPr>
        <w:t>按《汽车加油加气加氢站技术标准》GB50156-2021标准规定：油罐总储量为</w:t>
      </w:r>
      <w:r>
        <w:rPr>
          <w:rFonts w:hint="eastAsia" w:ascii="宋体"/>
          <w:color w:val="auto"/>
          <w:highlight w:val="none"/>
          <w:lang w:val="en-US" w:eastAsia="zh-CN"/>
        </w:rPr>
        <w:t>80</w:t>
      </w:r>
      <w:r>
        <w:rPr>
          <w:rFonts w:hint="eastAsia" w:ascii="宋体"/>
          <w:color w:val="auto"/>
          <w:highlight w:val="none"/>
        </w:rPr>
        <w:t>m³，柴油储罐容积折半计入总容积为</w:t>
      </w:r>
      <w:r>
        <w:rPr>
          <w:rFonts w:hint="eastAsia" w:ascii="宋体"/>
          <w:color w:val="auto"/>
          <w:highlight w:val="none"/>
          <w:lang w:val="en-US" w:eastAsia="zh-CN"/>
        </w:rPr>
        <w:t>65</w:t>
      </w:r>
      <w:r>
        <w:rPr>
          <w:rFonts w:hint="eastAsia" w:ascii="宋体"/>
          <w:color w:val="auto"/>
          <w:highlight w:val="none"/>
        </w:rPr>
        <w:t>m³，该站属</w:t>
      </w:r>
      <w:r>
        <w:rPr>
          <w:rFonts w:hint="eastAsia" w:ascii="宋体"/>
          <w:color w:val="auto"/>
          <w:highlight w:val="none"/>
          <w:lang w:val="en-US" w:eastAsia="zh-CN"/>
        </w:rPr>
        <w:t>三</w:t>
      </w:r>
      <w:r>
        <w:rPr>
          <w:rFonts w:hint="eastAsia" w:ascii="宋体"/>
          <w:color w:val="auto"/>
          <w:highlight w:val="none"/>
        </w:rPr>
        <w:t>级加油站。</w:t>
      </w:r>
    </w:p>
    <w:p w14:paraId="0255EB97">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362CC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53BB9C7">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4F52CA6E">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3606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E968DFE">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20D24043">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3CF80EE6">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7D790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593720A">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8AE6EA">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4FC96D75">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5DACE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654C4E0">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1D118118">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39246A4">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18E5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C675E29">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34943944">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3565AE89">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3866AAD5">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55B47349">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4</w:t>
      </w:r>
      <w:r>
        <w:rPr>
          <w:rFonts w:hint="eastAsia" w:ascii="宋体" w:hAnsi="宋体"/>
          <w:color w:val="auto"/>
          <w:sz w:val="28"/>
          <w:highlight w:val="none"/>
        </w:rPr>
        <w:t>人，其中主要负责人</w:t>
      </w:r>
      <w:r>
        <w:rPr>
          <w:rFonts w:hint="eastAsia" w:ascii="宋体" w:hAnsi="宋体"/>
          <w:color w:val="auto"/>
          <w:sz w:val="28"/>
          <w:highlight w:val="none"/>
          <w:lang w:val="en-US" w:eastAsia="zh-CN"/>
        </w:rPr>
        <w:t>2</w:t>
      </w:r>
      <w:r>
        <w:rPr>
          <w:rFonts w:hint="eastAsia" w:ascii="宋体" w:hAnsi="宋体"/>
          <w:color w:val="auto"/>
          <w:sz w:val="28"/>
          <w:highlight w:val="none"/>
        </w:rPr>
        <w:t>人</w:t>
      </w:r>
      <w:r>
        <w:rPr>
          <w:rFonts w:hint="eastAsia" w:ascii="宋体" w:hAnsi="宋体"/>
          <w:color w:val="auto"/>
          <w:sz w:val="28"/>
          <w:highlight w:val="none"/>
          <w:lang w:eastAsia="zh-CN"/>
        </w:rPr>
        <w:t>（</w:t>
      </w:r>
      <w:r>
        <w:rPr>
          <w:rFonts w:hint="eastAsia" w:ascii="宋体" w:hAnsi="宋体"/>
          <w:color w:val="auto"/>
          <w:sz w:val="28"/>
          <w:highlight w:val="none"/>
          <w:lang w:val="en-US" w:eastAsia="zh-CN"/>
        </w:rPr>
        <w:t>法人、站长各1人</w:t>
      </w:r>
      <w:r>
        <w:rPr>
          <w:rFonts w:hint="eastAsia" w:ascii="宋体" w:hAnsi="宋体"/>
          <w:color w:val="auto"/>
          <w:sz w:val="28"/>
          <w:highlight w:val="none"/>
          <w:lang w:eastAsia="zh-CN"/>
        </w:rPr>
        <w:t>）</w:t>
      </w:r>
      <w:r>
        <w:rPr>
          <w:rFonts w:hint="eastAsia" w:ascii="宋体" w:hAnsi="宋体"/>
          <w:color w:val="auto"/>
          <w:sz w:val="28"/>
          <w:highlight w:val="none"/>
        </w:rPr>
        <w:t>，安全生产管理员1人。主要负责人和安全生产管理人员已参加了危险化学品安全管理培训，并取得考核合格证，详见附页。</w:t>
      </w:r>
    </w:p>
    <w:p w14:paraId="6EEE52D2">
      <w:pPr>
        <w:adjustRightInd w:val="0"/>
        <w:snapToGrid w:val="0"/>
        <w:spacing w:line="360" w:lineRule="auto"/>
        <w:ind w:firstLine="560" w:firstLineChars="200"/>
        <w:rPr>
          <w:rFonts w:ascii="宋体" w:hAnsi="宋体"/>
          <w:color w:val="auto"/>
          <w:sz w:val="28"/>
          <w:highlight w:val="none"/>
        </w:rPr>
      </w:pPr>
      <w:r>
        <w:rPr>
          <w:rFonts w:hint="eastAsia" w:ascii="宋体" w:hAnsi="宋体"/>
          <w:b w:val="0"/>
          <w:bCs w:val="0"/>
          <w:color w:val="auto"/>
          <w:sz w:val="28"/>
          <w:highlight w:val="none"/>
          <w:lang w:val="en-US" w:eastAsia="zh-CN"/>
        </w:rPr>
        <w:t>该站</w:t>
      </w:r>
      <w:r>
        <w:rPr>
          <w:rFonts w:hint="eastAsia" w:ascii="宋体" w:hAnsi="宋体"/>
          <w:b w:val="0"/>
          <w:bCs w:val="0"/>
          <w:color w:val="auto"/>
          <w:sz w:val="28"/>
          <w:highlight w:val="none"/>
        </w:rPr>
        <w:t>于20</w:t>
      </w:r>
      <w:r>
        <w:rPr>
          <w:rFonts w:hint="eastAsia" w:ascii="宋体" w:hAnsi="宋体"/>
          <w:b w:val="0"/>
          <w:bCs w:val="0"/>
          <w:color w:val="auto"/>
          <w:sz w:val="28"/>
          <w:highlight w:val="none"/>
          <w:lang w:val="en-US" w:eastAsia="zh-CN"/>
        </w:rPr>
        <w:t>00</w:t>
      </w:r>
      <w:r>
        <w:rPr>
          <w:rFonts w:hint="eastAsia" w:ascii="宋体" w:hAnsi="宋体"/>
          <w:b w:val="0"/>
          <w:bCs w:val="0"/>
          <w:color w:val="auto"/>
          <w:sz w:val="28"/>
          <w:highlight w:val="none"/>
        </w:rPr>
        <w:t>年</w:t>
      </w:r>
      <w:r>
        <w:rPr>
          <w:rFonts w:hint="eastAsia" w:ascii="宋体" w:hAnsi="宋体"/>
          <w:b w:val="0"/>
          <w:bCs w:val="0"/>
          <w:color w:val="auto"/>
          <w:sz w:val="28"/>
          <w:highlight w:val="none"/>
          <w:lang w:val="en-US" w:eastAsia="zh-CN"/>
        </w:rPr>
        <w:t>09</w:t>
      </w:r>
      <w:r>
        <w:rPr>
          <w:rFonts w:hint="eastAsia" w:ascii="宋体" w:hAnsi="宋体"/>
          <w:b w:val="0"/>
          <w:bCs w:val="0"/>
          <w:color w:val="auto"/>
          <w:sz w:val="28"/>
          <w:highlight w:val="none"/>
        </w:rPr>
        <w:t>月</w:t>
      </w:r>
      <w:r>
        <w:rPr>
          <w:rFonts w:hint="eastAsia" w:ascii="宋体" w:hAnsi="宋体"/>
          <w:b w:val="0"/>
          <w:bCs w:val="0"/>
          <w:color w:val="auto"/>
          <w:sz w:val="28"/>
          <w:highlight w:val="none"/>
          <w:lang w:val="en-US" w:eastAsia="zh-CN"/>
        </w:rPr>
        <w:t>20</w:t>
      </w:r>
      <w:r>
        <w:rPr>
          <w:rFonts w:hint="eastAsia" w:ascii="宋体" w:hAnsi="宋体"/>
          <w:b w:val="0"/>
          <w:bCs w:val="0"/>
          <w:color w:val="auto"/>
          <w:sz w:val="28"/>
          <w:highlight w:val="none"/>
        </w:rPr>
        <w:t>日</w:t>
      </w:r>
      <w:r>
        <w:rPr>
          <w:rFonts w:hint="eastAsia" w:ascii="宋体" w:hAnsi="宋体"/>
          <w:b w:val="0"/>
          <w:bCs w:val="0"/>
          <w:color w:val="auto"/>
          <w:sz w:val="28"/>
          <w:highlight w:val="none"/>
          <w:lang w:val="en-US" w:eastAsia="zh-CN"/>
        </w:rPr>
        <w:t>取得了土地证</w:t>
      </w:r>
      <w:r>
        <w:rPr>
          <w:rFonts w:hint="eastAsia" w:ascii="宋体" w:hAnsi="宋体"/>
          <w:color w:val="auto"/>
          <w:sz w:val="28"/>
          <w:highlight w:val="none"/>
          <w:lang w:val="en-US" w:eastAsia="zh-CN"/>
        </w:rPr>
        <w:t>，</w:t>
      </w:r>
      <w:r>
        <w:rPr>
          <w:rFonts w:hint="eastAsia" w:ascii="宋体" w:hAnsi="宋体"/>
          <w:color w:val="auto"/>
          <w:sz w:val="28"/>
          <w:highlight w:val="none"/>
        </w:rPr>
        <w:t>详见附件。</w:t>
      </w:r>
    </w:p>
    <w:p w14:paraId="611A95CD">
      <w:pPr>
        <w:adjustRightInd w:val="0"/>
        <w:snapToGrid w:val="0"/>
        <w:spacing w:line="360" w:lineRule="auto"/>
        <w:ind w:firstLine="560" w:firstLineChars="200"/>
        <w:rPr>
          <w:rFonts w:hint="eastAsia" w:ascii="宋体" w:hAnsi="宋体" w:eastAsia="宋体" w:cs="Times New Roman"/>
          <w:b w:val="0"/>
          <w:bCs w:val="0"/>
          <w:color w:val="auto"/>
          <w:sz w:val="28"/>
          <w:highlight w:val="none"/>
        </w:rPr>
      </w:pPr>
      <w:r>
        <w:rPr>
          <w:rFonts w:hint="eastAsia" w:ascii="宋体" w:hAnsi="宋体" w:eastAsia="宋体" w:cs="Times New Roman"/>
          <w:b w:val="0"/>
          <w:bCs w:val="0"/>
          <w:color w:val="auto"/>
          <w:sz w:val="28"/>
          <w:highlight w:val="none"/>
        </w:rPr>
        <w:t>该站于</w:t>
      </w:r>
      <w:r>
        <w:rPr>
          <w:rFonts w:hint="eastAsia" w:ascii="宋体" w:hAnsi="宋体" w:cs="Times New Roman"/>
          <w:b w:val="0"/>
          <w:bCs w:val="0"/>
          <w:color w:val="auto"/>
          <w:sz w:val="28"/>
          <w:highlight w:val="none"/>
          <w:lang w:val="en-US" w:eastAsia="zh-CN"/>
        </w:rPr>
        <w:t>2016</w:t>
      </w:r>
      <w:r>
        <w:rPr>
          <w:rFonts w:hint="eastAsia" w:ascii="宋体" w:hAnsi="宋体" w:eastAsia="宋体" w:cs="Times New Roman"/>
          <w:b w:val="0"/>
          <w:bCs w:val="0"/>
          <w:color w:val="auto"/>
          <w:sz w:val="28"/>
          <w:highlight w:val="none"/>
        </w:rPr>
        <w:t>年</w:t>
      </w:r>
      <w:r>
        <w:rPr>
          <w:rFonts w:hint="eastAsia" w:ascii="宋体" w:hAnsi="宋体" w:cs="Times New Roman"/>
          <w:b w:val="0"/>
          <w:bCs w:val="0"/>
          <w:color w:val="auto"/>
          <w:sz w:val="28"/>
          <w:highlight w:val="none"/>
          <w:lang w:val="en-US" w:eastAsia="zh-CN"/>
        </w:rPr>
        <w:t>10</w:t>
      </w:r>
      <w:r>
        <w:rPr>
          <w:rFonts w:hint="eastAsia" w:ascii="宋体" w:hAnsi="宋体" w:eastAsia="宋体" w:cs="Times New Roman"/>
          <w:b w:val="0"/>
          <w:bCs w:val="0"/>
          <w:color w:val="auto"/>
          <w:sz w:val="28"/>
          <w:highlight w:val="none"/>
        </w:rPr>
        <w:t>月</w:t>
      </w:r>
      <w:r>
        <w:rPr>
          <w:rFonts w:hint="eastAsia" w:ascii="宋体" w:hAnsi="宋体" w:cs="Times New Roman"/>
          <w:b w:val="0"/>
          <w:bCs w:val="0"/>
          <w:color w:val="auto"/>
          <w:sz w:val="28"/>
          <w:highlight w:val="none"/>
          <w:lang w:val="en-US" w:eastAsia="zh-CN"/>
        </w:rPr>
        <w:t>11</w:t>
      </w:r>
      <w:r>
        <w:rPr>
          <w:rFonts w:hint="eastAsia" w:ascii="宋体" w:hAnsi="宋体" w:eastAsia="宋体" w:cs="Times New Roman"/>
          <w:b w:val="0"/>
          <w:bCs w:val="0"/>
          <w:color w:val="auto"/>
          <w:sz w:val="28"/>
          <w:highlight w:val="none"/>
        </w:rPr>
        <w:t>日取得了</w:t>
      </w:r>
      <w:r>
        <w:rPr>
          <w:rFonts w:hint="eastAsia" w:ascii="宋体" w:hAnsi="Times New Roman" w:eastAsia="宋体" w:cs="Times New Roman"/>
          <w:color w:val="auto"/>
          <w:kern w:val="0"/>
          <w:sz w:val="28"/>
          <w:szCs w:val="20"/>
          <w:lang w:val="en-US" w:eastAsia="zh-CN" w:bidi="ar-SA"/>
        </w:rPr>
        <w:t>泰安市公安</w:t>
      </w:r>
      <w:r>
        <w:rPr>
          <w:rFonts w:hint="eastAsia" w:ascii="宋体" w:cs="Times New Roman"/>
          <w:color w:val="auto"/>
          <w:kern w:val="0"/>
          <w:sz w:val="28"/>
          <w:szCs w:val="20"/>
          <w:lang w:val="en-US" w:eastAsia="zh-CN" w:bidi="ar-SA"/>
        </w:rPr>
        <w:t>消防支队</w:t>
      </w:r>
      <w:r>
        <w:rPr>
          <w:rFonts w:hint="eastAsia" w:ascii="宋体" w:hAnsi="宋体" w:eastAsia="宋体" w:cs="Times New Roman"/>
          <w:b w:val="0"/>
          <w:bCs w:val="0"/>
          <w:color w:val="auto"/>
          <w:sz w:val="28"/>
          <w:highlight w:val="none"/>
        </w:rPr>
        <w:t>出具</w:t>
      </w:r>
      <w:r>
        <w:rPr>
          <w:rFonts w:hint="eastAsia" w:ascii="宋体" w:hAnsi="宋体" w:cs="Times New Roman"/>
          <w:b w:val="0"/>
          <w:bCs w:val="0"/>
          <w:color w:val="auto"/>
          <w:sz w:val="28"/>
          <w:highlight w:val="none"/>
          <w:lang w:val="en-US" w:eastAsia="zh-CN"/>
        </w:rPr>
        <w:t>的</w:t>
      </w:r>
      <w:r>
        <w:rPr>
          <w:rFonts w:hint="eastAsia" w:ascii="宋体" w:hAnsi="宋体" w:eastAsia="宋体" w:cs="Times New Roman"/>
          <w:b w:val="0"/>
          <w:bCs w:val="0"/>
          <w:color w:val="auto"/>
          <w:sz w:val="28"/>
          <w:highlight w:val="none"/>
        </w:rPr>
        <w:t>《</w:t>
      </w:r>
      <w:r>
        <w:rPr>
          <w:rFonts w:hint="eastAsia" w:ascii="宋体" w:hAnsi="宋体"/>
          <w:color w:val="auto"/>
          <w:sz w:val="28"/>
          <w:szCs w:val="28"/>
          <w:lang w:val="en-US" w:eastAsia="zh-CN"/>
        </w:rPr>
        <w:t>建设工程消防验收意见书</w:t>
      </w:r>
      <w:r>
        <w:rPr>
          <w:rFonts w:hint="eastAsia" w:ascii="宋体" w:hAnsi="宋体" w:eastAsia="宋体" w:cs="Times New Roman"/>
          <w:b w:val="0"/>
          <w:bCs w:val="0"/>
          <w:color w:val="auto"/>
          <w:sz w:val="28"/>
          <w:highlight w:val="none"/>
        </w:rPr>
        <w:t>》，编号：</w:t>
      </w:r>
      <w:r>
        <w:rPr>
          <w:rFonts w:hint="eastAsia" w:ascii="宋体" w:hAnsi="宋体"/>
          <w:color w:val="auto"/>
          <w:sz w:val="28"/>
          <w:szCs w:val="28"/>
          <w:lang w:val="en-US" w:eastAsia="zh-CN"/>
        </w:rPr>
        <w:t>泰公消验字[2016]第0076号，详见附件</w:t>
      </w:r>
      <w:r>
        <w:rPr>
          <w:rFonts w:hint="eastAsia" w:ascii="宋体" w:hAnsi="宋体" w:eastAsia="宋体" w:cs="Times New Roman"/>
          <w:b w:val="0"/>
          <w:bCs w:val="0"/>
          <w:color w:val="auto"/>
          <w:sz w:val="28"/>
          <w:highlight w:val="none"/>
        </w:rPr>
        <w:t>。</w:t>
      </w:r>
    </w:p>
    <w:p w14:paraId="35A2660B">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5</w:t>
      </w:r>
      <w:r>
        <w:rPr>
          <w:rFonts w:ascii="宋体"/>
          <w:color w:val="auto"/>
          <w:highlight w:val="none"/>
        </w:rPr>
        <w:t>年</w:t>
      </w:r>
      <w:r>
        <w:rPr>
          <w:rFonts w:hint="eastAsia" w:ascii="宋体"/>
          <w:color w:val="auto"/>
          <w:highlight w:val="none"/>
        </w:rPr>
        <w:t>0</w:t>
      </w:r>
      <w:r>
        <w:rPr>
          <w:rFonts w:hint="eastAsia" w:ascii="宋体"/>
          <w:color w:val="auto"/>
          <w:highlight w:val="none"/>
          <w:lang w:val="en-US" w:eastAsia="zh-CN"/>
        </w:rPr>
        <w:t>5</w:t>
      </w:r>
      <w:r>
        <w:rPr>
          <w:rFonts w:ascii="宋体"/>
          <w:color w:val="auto"/>
          <w:highlight w:val="none"/>
        </w:rPr>
        <w:t>月</w:t>
      </w:r>
      <w:r>
        <w:rPr>
          <w:rFonts w:hint="eastAsia" w:ascii="宋体"/>
          <w:color w:val="auto"/>
          <w:highlight w:val="none"/>
          <w:lang w:val="en-US" w:eastAsia="zh-CN"/>
        </w:rPr>
        <w:t>2</w:t>
      </w:r>
      <w:r>
        <w:rPr>
          <w:rFonts w:hint="eastAsia" w:ascii="宋体"/>
          <w:color w:val="auto"/>
          <w:highlight w:val="none"/>
        </w:rPr>
        <w:t>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w:t>
      </w:r>
      <w:r>
        <w:rPr>
          <w:rFonts w:hint="eastAsia" w:ascii="宋体"/>
          <w:color w:val="auto"/>
          <w:highlight w:val="none"/>
          <w:lang w:val="en-US" w:eastAsia="zh-CN"/>
        </w:rPr>
        <w:t>00</w:t>
      </w:r>
      <w:r>
        <w:rPr>
          <w:rFonts w:hint="eastAsia" w:ascii="宋体"/>
          <w:color w:val="auto"/>
          <w:highlight w:val="none"/>
        </w:rPr>
        <w:t>30</w:t>
      </w:r>
      <w:r>
        <w:rPr>
          <w:rFonts w:hint="eastAsia" w:ascii="宋体"/>
          <w:color w:val="auto"/>
          <w:highlight w:val="none"/>
          <w:lang w:val="en-US" w:eastAsia="zh-CN"/>
        </w:rPr>
        <w:t>34</w:t>
      </w:r>
      <w:r>
        <w:rPr>
          <w:rFonts w:ascii="宋体"/>
          <w:color w:val="auto"/>
          <w:highlight w:val="none"/>
        </w:rPr>
        <w:t>号</w:t>
      </w:r>
      <w:r>
        <w:rPr>
          <w:rFonts w:hint="eastAsia" w:ascii="宋体"/>
          <w:color w:val="auto"/>
          <w:highlight w:val="none"/>
        </w:rPr>
        <w:t>，证书有效期至20</w:t>
      </w:r>
      <w:r>
        <w:rPr>
          <w:rFonts w:hint="eastAsia" w:ascii="宋体"/>
          <w:color w:val="auto"/>
          <w:highlight w:val="none"/>
          <w:lang w:val="en-US" w:eastAsia="zh-CN"/>
        </w:rPr>
        <w:t>30</w:t>
      </w:r>
      <w:r>
        <w:rPr>
          <w:rFonts w:hint="eastAsia" w:ascii="宋体"/>
          <w:color w:val="auto"/>
          <w:highlight w:val="none"/>
        </w:rPr>
        <w:t>年0</w:t>
      </w:r>
      <w:r>
        <w:rPr>
          <w:rFonts w:hint="eastAsia" w:ascii="宋体"/>
          <w:color w:val="auto"/>
          <w:highlight w:val="none"/>
          <w:lang w:val="en-US" w:eastAsia="zh-CN"/>
        </w:rPr>
        <w:t>5</w:t>
      </w:r>
      <w:r>
        <w:rPr>
          <w:rFonts w:hint="eastAsia" w:ascii="宋体"/>
          <w:color w:val="auto"/>
          <w:highlight w:val="none"/>
        </w:rPr>
        <w:t>月</w:t>
      </w:r>
      <w:r>
        <w:rPr>
          <w:rFonts w:hint="eastAsia" w:ascii="宋体"/>
          <w:color w:val="auto"/>
          <w:highlight w:val="none"/>
          <w:lang w:val="en-US" w:eastAsia="zh-CN"/>
        </w:rPr>
        <w:t>2</w:t>
      </w:r>
      <w:r>
        <w:rPr>
          <w:rFonts w:hint="eastAsia" w:ascii="宋体"/>
          <w:color w:val="auto"/>
          <w:highlight w:val="none"/>
        </w:rPr>
        <w:t>7日，证书见附件</w:t>
      </w:r>
      <w:r>
        <w:rPr>
          <w:rFonts w:ascii="宋体"/>
          <w:color w:val="auto"/>
          <w:highlight w:val="none"/>
        </w:rPr>
        <w:t>。</w:t>
      </w:r>
    </w:p>
    <w:p w14:paraId="73ACEBAE">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该站于</w:t>
      </w:r>
      <w:r>
        <w:rPr>
          <w:rFonts w:ascii="宋体"/>
          <w:color w:val="auto"/>
          <w:highlight w:val="none"/>
        </w:rPr>
        <w:t>20</w:t>
      </w:r>
      <w:r>
        <w:rPr>
          <w:rFonts w:hint="eastAsia" w:ascii="宋体"/>
          <w:color w:val="auto"/>
          <w:highlight w:val="none"/>
        </w:rPr>
        <w:t>22年</w:t>
      </w:r>
      <w:r>
        <w:rPr>
          <w:rFonts w:hint="eastAsia" w:ascii="宋体"/>
          <w:color w:val="auto"/>
          <w:highlight w:val="none"/>
          <w:lang w:val="en-US" w:eastAsia="zh-CN"/>
        </w:rPr>
        <w:t>08</w:t>
      </w:r>
      <w:r>
        <w:rPr>
          <w:rFonts w:hint="eastAsia" w:ascii="宋体"/>
          <w:color w:val="auto"/>
          <w:highlight w:val="none"/>
        </w:rPr>
        <w:t>月</w:t>
      </w:r>
      <w:r>
        <w:rPr>
          <w:rFonts w:hint="eastAsia" w:ascii="宋体"/>
          <w:color w:val="auto"/>
          <w:highlight w:val="none"/>
          <w:lang w:val="en-US" w:eastAsia="zh-CN"/>
        </w:rPr>
        <w:t>29</w:t>
      </w:r>
      <w:r>
        <w:rPr>
          <w:rFonts w:hint="eastAsia" w:ascii="宋体"/>
          <w:color w:val="auto"/>
          <w:highlight w:val="none"/>
        </w:rPr>
        <w:t>日换发了《危险化学品经营许可证》，证书编号：鲁泰危化经[2022]000</w:t>
      </w:r>
      <w:r>
        <w:rPr>
          <w:rFonts w:hint="eastAsia" w:ascii="宋体"/>
          <w:color w:val="auto"/>
          <w:highlight w:val="none"/>
          <w:lang w:val="en-US" w:eastAsia="zh-CN"/>
        </w:rPr>
        <w:t>116</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09</w:t>
      </w:r>
      <w:r>
        <w:rPr>
          <w:rFonts w:hint="eastAsia" w:ascii="宋体"/>
          <w:color w:val="auto"/>
          <w:highlight w:val="none"/>
        </w:rPr>
        <w:t>月</w:t>
      </w:r>
      <w:r>
        <w:rPr>
          <w:rFonts w:hint="eastAsia" w:ascii="宋体"/>
          <w:color w:val="auto"/>
          <w:highlight w:val="none"/>
          <w:lang w:val="en-US" w:eastAsia="zh-CN"/>
        </w:rPr>
        <w:t>04</w:t>
      </w:r>
      <w:r>
        <w:rPr>
          <w:rFonts w:hint="eastAsia" w:ascii="宋体"/>
          <w:color w:val="auto"/>
          <w:highlight w:val="none"/>
        </w:rPr>
        <w:t>日，证书见附件。</w:t>
      </w:r>
    </w:p>
    <w:p w14:paraId="6B6EA170">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山东天科防雷工程有限公司对该站进行了相关防雷设施的检测，出具了合格的《雷电防护装置定期检测报告》，报告编号：（1122016001）[2025]</w:t>
      </w:r>
      <w:r>
        <w:rPr>
          <w:rFonts w:hint="eastAsia" w:ascii="宋体" w:hAnsi="宋体"/>
          <w:color w:val="auto"/>
          <w:sz w:val="28"/>
          <w:highlight w:val="none"/>
          <w:lang w:val="en-US" w:eastAsia="zh-CN"/>
        </w:rPr>
        <w:t>D-</w:t>
      </w:r>
      <w:r>
        <w:rPr>
          <w:rFonts w:hint="eastAsia" w:ascii="宋体" w:hAnsi="宋体"/>
          <w:color w:val="auto"/>
          <w:sz w:val="28"/>
          <w:highlight w:val="none"/>
        </w:rPr>
        <w:t>TA</w:t>
      </w:r>
      <w:r>
        <w:rPr>
          <w:rFonts w:hint="eastAsia" w:ascii="宋体" w:hAnsi="宋体"/>
          <w:color w:val="auto"/>
          <w:sz w:val="28"/>
          <w:highlight w:val="none"/>
          <w:lang w:val="en-US" w:eastAsia="zh-CN"/>
        </w:rPr>
        <w:t>DY0108</w:t>
      </w:r>
      <w:r>
        <w:rPr>
          <w:rFonts w:hint="eastAsia" w:ascii="宋体" w:hAnsi="宋体"/>
          <w:color w:val="auto"/>
          <w:sz w:val="28"/>
          <w:highlight w:val="none"/>
        </w:rPr>
        <w:t>，结论为“合格：加油站雷电防护装置符合现行国家防雷规范标准要求”，有效期至202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10</w:t>
      </w:r>
      <w:r>
        <w:rPr>
          <w:rFonts w:hint="eastAsia" w:ascii="宋体" w:hAnsi="宋体"/>
          <w:color w:val="auto"/>
          <w:sz w:val="28"/>
          <w:highlight w:val="none"/>
        </w:rPr>
        <w:t>月</w:t>
      </w:r>
      <w:r>
        <w:rPr>
          <w:rFonts w:hint="eastAsia" w:ascii="宋体" w:hAnsi="宋体"/>
          <w:color w:val="auto"/>
          <w:sz w:val="28"/>
          <w:highlight w:val="none"/>
          <w:lang w:val="en-US" w:eastAsia="zh-CN"/>
        </w:rPr>
        <w:t>15</w:t>
      </w:r>
      <w:r>
        <w:rPr>
          <w:rFonts w:hint="eastAsia" w:ascii="宋体" w:hAnsi="宋体"/>
          <w:color w:val="auto"/>
          <w:sz w:val="28"/>
          <w:highlight w:val="none"/>
        </w:rPr>
        <w:t>日，检测报告见附件。</w:t>
      </w:r>
    </w:p>
    <w:p w14:paraId="5FB3DE80">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人民</w:t>
      </w:r>
      <w:r>
        <w:rPr>
          <w:rFonts w:hint="eastAsia" w:ascii="宋体"/>
          <w:color w:val="auto"/>
          <w:highlight w:val="none"/>
        </w:rPr>
        <w:t>财产保险股份有限公司投保安全生产责任保险，保险期限202</w:t>
      </w:r>
      <w:r>
        <w:rPr>
          <w:rFonts w:hint="eastAsia" w:ascii="宋体"/>
          <w:color w:val="auto"/>
          <w:highlight w:val="none"/>
          <w:lang w:val="en-US" w:eastAsia="zh-CN"/>
        </w:rPr>
        <w:t>5</w:t>
      </w:r>
      <w:r>
        <w:rPr>
          <w:rFonts w:hint="eastAsia" w:ascii="宋体"/>
          <w:color w:val="auto"/>
          <w:highlight w:val="none"/>
        </w:rPr>
        <w:t>年0</w:t>
      </w:r>
      <w:r>
        <w:rPr>
          <w:rFonts w:hint="eastAsia" w:ascii="宋体"/>
          <w:color w:val="auto"/>
          <w:highlight w:val="none"/>
          <w:lang w:val="en-US" w:eastAsia="zh-CN"/>
        </w:rPr>
        <w:t>4</w:t>
      </w:r>
      <w:r>
        <w:rPr>
          <w:rFonts w:hint="eastAsia" w:ascii="宋体"/>
          <w:color w:val="auto"/>
          <w:highlight w:val="none"/>
        </w:rPr>
        <w:t>月</w:t>
      </w:r>
      <w:r>
        <w:rPr>
          <w:rFonts w:hint="eastAsia" w:ascii="宋体"/>
          <w:color w:val="auto"/>
          <w:highlight w:val="none"/>
          <w:lang w:val="en-US" w:eastAsia="zh-CN"/>
        </w:rPr>
        <w:t>30</w:t>
      </w:r>
      <w:r>
        <w:rPr>
          <w:rFonts w:hint="eastAsia" w:ascii="宋体"/>
          <w:color w:val="auto"/>
          <w:highlight w:val="none"/>
        </w:rPr>
        <w:t>日至202</w:t>
      </w:r>
      <w:r>
        <w:rPr>
          <w:rFonts w:hint="eastAsia" w:ascii="宋体"/>
          <w:color w:val="auto"/>
          <w:highlight w:val="none"/>
          <w:lang w:val="en-US" w:eastAsia="zh-CN"/>
        </w:rPr>
        <w:t>6</w:t>
      </w:r>
      <w:r>
        <w:rPr>
          <w:rFonts w:hint="eastAsia" w:ascii="宋体"/>
          <w:color w:val="auto"/>
          <w:highlight w:val="none"/>
        </w:rPr>
        <w:t>年0</w:t>
      </w:r>
      <w:r>
        <w:rPr>
          <w:rFonts w:hint="eastAsia" w:ascii="宋体"/>
          <w:color w:val="auto"/>
          <w:highlight w:val="none"/>
          <w:lang w:val="en-US" w:eastAsia="zh-CN"/>
        </w:rPr>
        <w:t>4</w:t>
      </w:r>
      <w:r>
        <w:rPr>
          <w:rFonts w:hint="eastAsia" w:ascii="宋体"/>
          <w:color w:val="auto"/>
          <w:highlight w:val="none"/>
        </w:rPr>
        <w:t>月2</w:t>
      </w:r>
      <w:r>
        <w:rPr>
          <w:rFonts w:hint="eastAsia" w:ascii="宋体"/>
          <w:color w:val="auto"/>
          <w:highlight w:val="none"/>
          <w:lang w:val="en-US" w:eastAsia="zh-CN"/>
        </w:rPr>
        <w:t>9</w:t>
      </w:r>
      <w:r>
        <w:rPr>
          <w:rFonts w:hint="eastAsia" w:ascii="宋体"/>
          <w:color w:val="auto"/>
          <w:highlight w:val="none"/>
        </w:rPr>
        <w:t>日，详见附件。</w:t>
      </w:r>
    </w:p>
    <w:p w14:paraId="34DA13A1">
      <w:pPr>
        <w:adjustRightInd w:val="0"/>
        <w:snapToGrid w:val="0"/>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该站编制了生产安全事故应急预案，于2025年</w:t>
      </w:r>
      <w:r>
        <w:rPr>
          <w:rFonts w:hint="eastAsia" w:ascii="宋体" w:hAnsi="宋体"/>
          <w:color w:val="000000" w:themeColor="text1"/>
          <w:sz w:val="28"/>
          <w:highlight w:val="none"/>
          <w:lang w:val="en-US" w:eastAsia="zh-CN"/>
          <w14:textFill>
            <w14:solidFill>
              <w14:schemeClr w14:val="tx1"/>
            </w14:solidFill>
          </w14:textFill>
        </w:rPr>
        <w:t>8</w:t>
      </w:r>
      <w:r>
        <w:rPr>
          <w:rFonts w:hint="eastAsia" w:ascii="宋体" w:hAnsi="宋体"/>
          <w:color w:val="000000" w:themeColor="text1"/>
          <w:sz w:val="28"/>
          <w:highlight w:val="none"/>
          <w14:textFill>
            <w14:solidFill>
              <w14:schemeClr w14:val="tx1"/>
            </w14:solidFill>
          </w14:textFill>
        </w:rPr>
        <w:t>月</w:t>
      </w:r>
      <w:r>
        <w:rPr>
          <w:rFonts w:hint="eastAsia" w:ascii="宋体" w:hAnsi="宋体"/>
          <w:color w:val="000000" w:themeColor="text1"/>
          <w:sz w:val="28"/>
          <w:highlight w:val="none"/>
          <w:lang w:val="en-US" w:eastAsia="zh-CN"/>
          <w14:textFill>
            <w14:solidFill>
              <w14:schemeClr w14:val="tx1"/>
            </w14:solidFill>
          </w14:textFill>
        </w:rPr>
        <w:t>15</w:t>
      </w:r>
      <w:r>
        <w:rPr>
          <w:rFonts w:hint="eastAsia" w:ascii="宋体" w:hAnsi="宋体"/>
          <w:color w:val="000000" w:themeColor="text1"/>
          <w:sz w:val="28"/>
          <w:highlight w:val="none"/>
          <w14:textFill>
            <w14:solidFill>
              <w14:schemeClr w14:val="tx1"/>
            </w14:solidFill>
          </w14:textFill>
        </w:rPr>
        <w:t>日在泰安市</w:t>
      </w:r>
      <w:r>
        <w:rPr>
          <w:rFonts w:hint="eastAsia" w:ascii="宋体" w:hAnsi="宋体"/>
          <w:color w:val="000000" w:themeColor="text1"/>
          <w:sz w:val="28"/>
          <w:highlight w:val="none"/>
          <w:lang w:val="en-US" w:eastAsia="zh-CN"/>
          <w14:textFill>
            <w14:solidFill>
              <w14:schemeClr w14:val="tx1"/>
            </w14:solidFill>
          </w14:textFill>
        </w:rPr>
        <w:t>泰山风景名胜区管理委员会安全</w:t>
      </w:r>
      <w:r>
        <w:rPr>
          <w:rFonts w:hint="eastAsia" w:ascii="宋体" w:hAnsi="宋体"/>
          <w:color w:val="000000" w:themeColor="text1"/>
          <w:sz w:val="28"/>
          <w:highlight w:val="none"/>
          <w14:textFill>
            <w14:solidFill>
              <w14:schemeClr w14:val="tx1"/>
            </w14:solidFill>
          </w14:textFill>
        </w:rPr>
        <w:t>应急管理</w:t>
      </w:r>
      <w:r>
        <w:rPr>
          <w:rFonts w:hint="eastAsia" w:ascii="宋体" w:hAnsi="宋体"/>
          <w:color w:val="000000" w:themeColor="text1"/>
          <w:sz w:val="28"/>
          <w:highlight w:val="none"/>
          <w:lang w:val="en-US" w:eastAsia="zh-CN"/>
          <w14:textFill>
            <w14:solidFill>
              <w14:schemeClr w14:val="tx1"/>
            </w14:solidFill>
          </w14:textFill>
        </w:rPr>
        <w:t>部</w:t>
      </w:r>
      <w:r>
        <w:rPr>
          <w:rFonts w:hint="eastAsia" w:ascii="宋体" w:hAnsi="宋体"/>
          <w:color w:val="000000" w:themeColor="text1"/>
          <w:sz w:val="28"/>
          <w:highlight w:val="none"/>
          <w14:textFill>
            <w14:solidFill>
              <w14:schemeClr w14:val="tx1"/>
            </w14:solidFill>
          </w14:textFill>
        </w:rPr>
        <w:t>进行了备案，备案编号为：3709</w:t>
      </w:r>
      <w:r>
        <w:rPr>
          <w:rFonts w:hint="eastAsia" w:ascii="宋体" w:hAnsi="宋体"/>
          <w:color w:val="000000" w:themeColor="text1"/>
          <w:sz w:val="28"/>
          <w:highlight w:val="none"/>
          <w:lang w:val="en-US" w:eastAsia="zh-CN"/>
          <w14:textFill>
            <w14:solidFill>
              <w14:schemeClr w14:val="tx1"/>
            </w14:solidFill>
          </w14:textFill>
        </w:rPr>
        <w:t>99-2025-001</w:t>
      </w:r>
      <w:r>
        <w:rPr>
          <w:rFonts w:hint="eastAsia" w:ascii="宋体" w:hAnsi="宋体"/>
          <w:color w:val="000000" w:themeColor="text1"/>
          <w:sz w:val="28"/>
          <w:highlight w:val="none"/>
          <w14:textFill>
            <w14:solidFill>
              <w14:schemeClr w14:val="tx1"/>
            </w14:solidFill>
          </w14:textFill>
        </w:rPr>
        <w:t>，详见附件。</w:t>
      </w:r>
    </w:p>
    <w:p w14:paraId="209C486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26932490">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1</w:t>
      </w:r>
      <w:r>
        <w:rPr>
          <w:rFonts w:hint="eastAsia" w:ascii="宋体"/>
          <w:color w:val="auto"/>
          <w:highlight w:val="none"/>
        </w:rPr>
        <w:t>具，8kg手提式干粉灭火器</w:t>
      </w:r>
      <w:r>
        <w:rPr>
          <w:rFonts w:hint="eastAsia" w:ascii="宋体"/>
          <w:color w:val="auto"/>
          <w:highlight w:val="none"/>
          <w:lang w:val="en-US" w:eastAsia="zh-CN"/>
        </w:rPr>
        <w:t>12</w:t>
      </w:r>
      <w:r>
        <w:rPr>
          <w:rFonts w:hint="eastAsia" w:ascii="宋体"/>
          <w:color w:val="auto"/>
          <w:highlight w:val="none"/>
        </w:rPr>
        <w:t>具，</w:t>
      </w:r>
      <w:r>
        <w:rPr>
          <w:rFonts w:hint="eastAsia" w:ascii="宋体"/>
          <w:color w:val="auto"/>
          <w:highlight w:val="none"/>
          <w:lang w:val="en-US" w:eastAsia="zh-CN"/>
        </w:rPr>
        <w:t>4</w:t>
      </w:r>
      <w:r>
        <w:rPr>
          <w:rFonts w:hint="eastAsia" w:ascii="宋体"/>
          <w:color w:val="auto"/>
          <w:highlight w:val="none"/>
        </w:rPr>
        <w:t>kg手提式干粉灭火器</w:t>
      </w:r>
      <w:r>
        <w:rPr>
          <w:rFonts w:hint="eastAsia" w:ascii="宋体"/>
          <w:color w:val="auto"/>
          <w:highlight w:val="none"/>
          <w:lang w:val="en-US" w:eastAsia="zh-CN"/>
        </w:rPr>
        <w:t>4</w:t>
      </w:r>
      <w:r>
        <w:rPr>
          <w:rFonts w:hint="eastAsia" w:ascii="宋体"/>
          <w:color w:val="auto"/>
          <w:highlight w:val="none"/>
        </w:rPr>
        <w:t>具，灭火毯</w:t>
      </w:r>
      <w:r>
        <w:rPr>
          <w:rFonts w:hint="eastAsia" w:ascii="宋体"/>
          <w:color w:val="auto"/>
          <w:highlight w:val="none"/>
          <w:lang w:val="en-US" w:eastAsia="zh-CN"/>
        </w:rPr>
        <w:t>6</w:t>
      </w:r>
      <w:r>
        <w:rPr>
          <w:rFonts w:hint="eastAsia" w:ascii="宋体"/>
          <w:color w:val="auto"/>
          <w:highlight w:val="none"/>
        </w:rPr>
        <w:t>块，消防锨</w:t>
      </w:r>
      <w:r>
        <w:rPr>
          <w:rFonts w:hint="eastAsia" w:ascii="宋体"/>
          <w:color w:val="auto"/>
          <w:highlight w:val="none"/>
          <w:lang w:val="en-US" w:eastAsia="zh-CN"/>
        </w:rPr>
        <w:t>6</w:t>
      </w:r>
      <w:r>
        <w:rPr>
          <w:rFonts w:hint="eastAsia" w:ascii="宋体"/>
          <w:color w:val="auto"/>
          <w:highlight w:val="none"/>
        </w:rPr>
        <w:t>把，消防桶</w:t>
      </w:r>
      <w:r>
        <w:rPr>
          <w:rFonts w:hint="eastAsia" w:ascii="宋体"/>
          <w:color w:val="auto"/>
          <w:highlight w:val="none"/>
          <w:lang w:val="en-US" w:eastAsia="zh-CN"/>
        </w:rPr>
        <w:t>4</w:t>
      </w:r>
      <w:r>
        <w:rPr>
          <w:rFonts w:hint="eastAsia" w:ascii="宋体"/>
          <w:color w:val="auto"/>
          <w:highlight w:val="none"/>
        </w:rPr>
        <w:t>个，消防沙池2m</w:t>
      </w:r>
      <w:r>
        <w:rPr>
          <w:rFonts w:hint="eastAsia" w:ascii="宋体"/>
          <w:color w:val="auto"/>
          <w:highlight w:val="none"/>
          <w:vertAlign w:val="superscript"/>
        </w:rPr>
        <w:t>3</w:t>
      </w:r>
      <w:r>
        <w:rPr>
          <w:rFonts w:hint="eastAsia" w:ascii="宋体"/>
          <w:color w:val="auto"/>
          <w:highlight w:val="none"/>
        </w:rPr>
        <w:t>。</w:t>
      </w:r>
    </w:p>
    <w:p w14:paraId="2374800E">
      <w:pPr>
        <w:pStyle w:val="17"/>
        <w:widowControl w:val="0"/>
        <w:adjustRightInd w:val="0"/>
        <w:snapToGrid w:val="0"/>
        <w:spacing w:line="360" w:lineRule="auto"/>
        <w:ind w:firstLine="560"/>
        <w:rPr>
          <w:rFonts w:ascii="宋体"/>
        </w:rPr>
      </w:pPr>
      <w:r>
        <w:rPr>
          <w:rFonts w:hint="eastAsia" w:ascii="宋体"/>
          <w:color w:val="auto"/>
          <w:highlight w:val="none"/>
        </w:rPr>
        <w:t>该加油站按功能分区布置，有油罐区、加油区、站房，布置较合理</w:t>
      </w:r>
      <w:r>
        <w:rPr>
          <w:rFonts w:hint="eastAsia" w:ascii="宋体"/>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16" w:name="_Toc102633906"/>
      <w:bookmarkStart w:id="17" w:name="_Toc102634255"/>
      <w:bookmarkStart w:id="18" w:name="_Toc102634406"/>
      <w:bookmarkStart w:id="19" w:name="_Toc1454"/>
      <w:bookmarkStart w:id="20" w:name="_Toc102633980"/>
      <w:r>
        <w:rPr>
          <w:rFonts w:hint="eastAsia"/>
          <w:color w:val="auto"/>
          <w:highlight w:val="none"/>
        </w:rPr>
        <w:t>第四章 评价单元划分与评价方法选择</w:t>
      </w:r>
      <w:bookmarkEnd w:id="16"/>
      <w:bookmarkEnd w:id="17"/>
      <w:bookmarkEnd w:id="18"/>
      <w:bookmarkEnd w:id="19"/>
      <w:bookmarkEnd w:id="20"/>
    </w:p>
    <w:p w14:paraId="2746B56D">
      <w:pPr>
        <w:pStyle w:val="3"/>
        <w:spacing w:before="312" w:beforeLines="100" w:after="312" w:afterLines="100" w:line="360" w:lineRule="auto"/>
        <w:ind w:firstLine="0"/>
        <w:rPr>
          <w:rFonts w:hint="eastAsia"/>
          <w:color w:val="auto"/>
          <w:highlight w:val="none"/>
        </w:rPr>
      </w:pPr>
      <w:bookmarkStart w:id="21" w:name="_Toc198026273"/>
      <w:bookmarkStart w:id="22" w:name="_Toc102633981"/>
      <w:bookmarkStart w:id="23" w:name="_Toc15033754"/>
      <w:bookmarkStart w:id="24" w:name="_Toc102634407"/>
      <w:bookmarkStart w:id="25" w:name="_Toc7829"/>
      <w:bookmarkStart w:id="26" w:name="_Toc238007574"/>
      <w:bookmarkStart w:id="27" w:name="_Toc102633907"/>
      <w:bookmarkStart w:id="28" w:name="_Toc23543"/>
      <w:bookmarkStart w:id="29" w:name="_Toc192907201"/>
      <w:bookmarkStart w:id="30" w:name="_Toc12643"/>
      <w:bookmarkStart w:id="31" w:name="_Toc102634256"/>
      <w:bookmarkStart w:id="32" w:name="_Toc272364536"/>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701BCC69">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757DCAB5">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75D6779D">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3FB7B799">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060B4246">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78FA3B29">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32BC9BE4">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08B54762">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rPr>
        <w:t>四</w:t>
      </w:r>
      <w:r>
        <w:rPr>
          <w:rFonts w:ascii="宋体"/>
          <w:color w:val="auto"/>
          <w:highlight w:val="none"/>
        </w:rPr>
        <w:t>个单元：</w:t>
      </w:r>
    </w:p>
    <w:p w14:paraId="2D802E01">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2971A712">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082314B1">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44DD71CA">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7E6321A7">
      <w:pPr>
        <w:pStyle w:val="3"/>
        <w:spacing w:before="312" w:beforeLines="100" w:after="312" w:afterLines="100" w:line="360" w:lineRule="auto"/>
        <w:ind w:firstLine="0"/>
        <w:rPr>
          <w:color w:val="auto"/>
          <w:highlight w:val="none"/>
        </w:rPr>
      </w:pPr>
      <w:bookmarkStart w:id="35" w:name="_Toc102634259"/>
      <w:bookmarkStart w:id="36" w:name="_Toc22810"/>
      <w:bookmarkStart w:id="37" w:name="_Toc102633982"/>
      <w:bookmarkStart w:id="38" w:name="_Toc102633908"/>
      <w:bookmarkStart w:id="39" w:name="_Toc102634408"/>
      <w:r>
        <w:rPr>
          <w:rFonts w:hint="eastAsia"/>
          <w:color w:val="auto"/>
          <w:highlight w:val="none"/>
        </w:rPr>
        <w:t>第二节 评价方法的选择</w:t>
      </w:r>
      <w:bookmarkEnd w:id="35"/>
      <w:bookmarkEnd w:id="36"/>
      <w:bookmarkEnd w:id="37"/>
      <w:bookmarkEnd w:id="38"/>
      <w:bookmarkEnd w:id="39"/>
    </w:p>
    <w:p w14:paraId="3C0F0A9D">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2817081F">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69F53FF">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lang w:eastAsia="zh-CN"/>
        </w:rPr>
        <w:t>泰安市泰山景区泰金加油站有限公司</w:t>
      </w:r>
      <w:r>
        <w:rPr>
          <w:rFonts w:ascii="宋体"/>
          <w:color w:val="auto"/>
          <w:highlight w:val="none"/>
        </w:rPr>
        <w:t>的具体情况，选用安全检查表、事故树法及危险度评价法对加油站进行评价。具体应用如下表所示：</w:t>
      </w:r>
    </w:p>
    <w:p w14:paraId="7966231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4B01A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E5D382B">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3940AB8E">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01022993">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54FA8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A9872CF">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65792359">
            <w:pPr>
              <w:pStyle w:val="20"/>
              <w:widowControl w:val="0"/>
              <w:adjustRightInd w:val="0"/>
              <w:snapToGrid w:val="0"/>
              <w:spacing w:line="360" w:lineRule="auto"/>
              <w:rPr>
                <w:rFonts w:ascii="宋体"/>
                <w:b/>
                <w:color w:val="auto"/>
                <w:highlight w:val="none"/>
              </w:rPr>
            </w:pPr>
          </w:p>
        </w:tc>
        <w:tc>
          <w:tcPr>
            <w:tcW w:w="1196" w:type="pct"/>
            <w:vAlign w:val="center"/>
          </w:tcPr>
          <w:p w14:paraId="734DF75A">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11738BA">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2E7E2F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2FE23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AB3491B">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3B085CF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4AE22BA5">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1B12537">
            <w:pPr>
              <w:pStyle w:val="20"/>
              <w:widowControl w:val="0"/>
              <w:adjustRightInd w:val="0"/>
              <w:snapToGrid w:val="0"/>
              <w:spacing w:line="360" w:lineRule="auto"/>
              <w:rPr>
                <w:rFonts w:ascii="宋体"/>
                <w:color w:val="auto"/>
                <w:highlight w:val="none"/>
              </w:rPr>
            </w:pPr>
          </w:p>
        </w:tc>
        <w:tc>
          <w:tcPr>
            <w:tcW w:w="972" w:type="pct"/>
            <w:vAlign w:val="center"/>
          </w:tcPr>
          <w:p w14:paraId="63EDABBC">
            <w:pPr>
              <w:pStyle w:val="20"/>
              <w:widowControl w:val="0"/>
              <w:adjustRightInd w:val="0"/>
              <w:snapToGrid w:val="0"/>
              <w:spacing w:line="360" w:lineRule="auto"/>
              <w:rPr>
                <w:rFonts w:ascii="宋体"/>
                <w:color w:val="auto"/>
                <w:highlight w:val="none"/>
              </w:rPr>
            </w:pPr>
          </w:p>
        </w:tc>
      </w:tr>
      <w:tr w14:paraId="75746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432C4C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7AB4F63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0B558A19">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B9FA1E5">
            <w:pPr>
              <w:pStyle w:val="20"/>
              <w:widowControl w:val="0"/>
              <w:adjustRightInd w:val="0"/>
              <w:snapToGrid w:val="0"/>
              <w:spacing w:line="360" w:lineRule="auto"/>
              <w:rPr>
                <w:rFonts w:ascii="宋体"/>
                <w:color w:val="auto"/>
                <w:highlight w:val="none"/>
              </w:rPr>
            </w:pPr>
          </w:p>
        </w:tc>
        <w:tc>
          <w:tcPr>
            <w:tcW w:w="972" w:type="pct"/>
            <w:vAlign w:val="center"/>
          </w:tcPr>
          <w:p w14:paraId="6612AC99">
            <w:pPr>
              <w:pStyle w:val="20"/>
              <w:widowControl w:val="0"/>
              <w:adjustRightInd w:val="0"/>
              <w:snapToGrid w:val="0"/>
              <w:spacing w:line="360" w:lineRule="auto"/>
              <w:rPr>
                <w:rFonts w:ascii="宋体"/>
                <w:color w:val="auto"/>
                <w:highlight w:val="none"/>
              </w:rPr>
            </w:pPr>
          </w:p>
        </w:tc>
      </w:tr>
      <w:tr w14:paraId="37505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D479E7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0F97E047">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5083C67A">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A62297C">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52DE5ADA">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5341E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F4478F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0E059E5">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9E55D56">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4F3AA075">
            <w:pPr>
              <w:pStyle w:val="20"/>
              <w:widowControl w:val="0"/>
              <w:adjustRightInd w:val="0"/>
              <w:snapToGrid w:val="0"/>
              <w:spacing w:line="360" w:lineRule="auto"/>
              <w:rPr>
                <w:rFonts w:ascii="宋体"/>
                <w:color w:val="auto"/>
                <w:highlight w:val="none"/>
              </w:rPr>
            </w:pPr>
          </w:p>
        </w:tc>
        <w:tc>
          <w:tcPr>
            <w:tcW w:w="972" w:type="pct"/>
            <w:vAlign w:val="center"/>
          </w:tcPr>
          <w:p w14:paraId="172A77C8">
            <w:pPr>
              <w:pStyle w:val="20"/>
              <w:widowControl w:val="0"/>
              <w:adjustRightInd w:val="0"/>
              <w:snapToGrid w:val="0"/>
              <w:spacing w:line="360" w:lineRule="auto"/>
              <w:rPr>
                <w:rFonts w:ascii="宋体"/>
                <w:color w:val="auto"/>
                <w:highlight w:val="none"/>
              </w:rPr>
            </w:pPr>
          </w:p>
        </w:tc>
      </w:tr>
    </w:tbl>
    <w:p w14:paraId="446F3E17">
      <w:pPr>
        <w:pStyle w:val="17"/>
        <w:widowControl w:val="0"/>
        <w:spacing w:line="360" w:lineRule="auto"/>
        <w:ind w:firstLine="420"/>
        <w:rPr>
          <w:rFonts w:ascii="黑体" w:hAnsi="黑体" w:eastAsia="黑体"/>
          <w:sz w:val="21"/>
          <w:szCs w:val="21"/>
          <w:u w:color="000000"/>
        </w:rPr>
      </w:pPr>
      <w:r>
        <w:rPr>
          <w:rFonts w:ascii="黑体" w:hAnsi="黑体" w:eastAsia="黑体"/>
          <w:color w:val="auto"/>
          <w:sz w:val="21"/>
          <w:szCs w:val="21"/>
          <w:highlight w:val="none"/>
          <w:u w:color="000000"/>
        </w:rPr>
        <w:t>注：表中“★”表示采用的评价方法</w:t>
      </w:r>
      <w:r>
        <w:rPr>
          <w:rFonts w:ascii="黑体" w:hAnsi="黑体" w:eastAsia="黑体"/>
          <w:sz w:val="21"/>
          <w:szCs w:val="21"/>
          <w:u w:color="000000"/>
        </w:rPr>
        <w:t>。</w:t>
      </w:r>
    </w:p>
    <w:p w14:paraId="4D892009">
      <w:pPr>
        <w:rPr>
          <w:rFonts w:eastAsia="黑体"/>
          <w:kern w:val="2"/>
          <w:sz w:val="32"/>
          <w:szCs w:val="21"/>
        </w:rPr>
      </w:pPr>
      <w:bookmarkStart w:id="40" w:name="_Toc15033761"/>
      <w:bookmarkStart w:id="41" w:name="_Toc102633988"/>
      <w:bookmarkStart w:id="42" w:name="_Toc102633914"/>
      <w:bookmarkStart w:id="43" w:name="_Toc9894"/>
      <w:bookmarkStart w:id="44" w:name="_Toc102634276"/>
      <w:bookmarkStart w:id="45" w:name="_Toc102634414"/>
      <w:r>
        <w:rPr>
          <w:rFonts w:eastAsia="黑体"/>
          <w:kern w:val="2"/>
          <w:sz w:val="32"/>
          <w:szCs w:val="21"/>
        </w:rPr>
        <w:br w:type="page"/>
      </w:r>
    </w:p>
    <w:bookmarkEnd w:id="40"/>
    <w:bookmarkEnd w:id="41"/>
    <w:bookmarkEnd w:id="42"/>
    <w:bookmarkEnd w:id="43"/>
    <w:bookmarkEnd w:id="44"/>
    <w:bookmarkEnd w:id="45"/>
    <w:p w14:paraId="53953895">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6" w:name="_Toc7871"/>
      <w:r>
        <w:rPr>
          <w:rFonts w:hint="eastAsia"/>
          <w:color w:val="auto"/>
          <w:highlight w:val="none"/>
        </w:rPr>
        <w:t>第六章  安全对策措施及建议</w:t>
      </w:r>
      <w:bookmarkEnd w:id="46"/>
    </w:p>
    <w:p w14:paraId="61D5A378">
      <w:pPr>
        <w:pStyle w:val="3"/>
        <w:spacing w:before="312" w:beforeLines="100" w:after="312" w:afterLines="100" w:line="360" w:lineRule="auto"/>
        <w:ind w:firstLine="0"/>
        <w:rPr>
          <w:rFonts w:hint="eastAsia"/>
          <w:color w:val="auto"/>
          <w:highlight w:val="none"/>
        </w:rPr>
      </w:pPr>
      <w:bookmarkStart w:id="47" w:name="_Toc339456079"/>
      <w:bookmarkStart w:id="48" w:name="_Toc225046264"/>
      <w:bookmarkStart w:id="49" w:name="_Toc102634415"/>
      <w:bookmarkStart w:id="50" w:name="_Toc102634277"/>
      <w:bookmarkStart w:id="51" w:name="_Toc102633915"/>
      <w:bookmarkStart w:id="52" w:name="_Toc4961"/>
      <w:bookmarkStart w:id="53" w:name="_Toc242065302"/>
      <w:bookmarkStart w:id="54" w:name="_Toc102633989"/>
      <w:bookmarkStart w:id="55" w:name="_Toc15033762"/>
      <w:bookmarkStart w:id="56" w:name="_Toc348877039"/>
      <w:bookmarkStart w:id="57" w:name="_Toc2607"/>
      <w:r>
        <w:rPr>
          <w:rFonts w:hint="eastAsia"/>
          <w:color w:val="auto"/>
          <w:highlight w:val="none"/>
        </w:rPr>
        <w:t xml:space="preserve">第一节 </w:t>
      </w:r>
      <w:bookmarkEnd w:id="47"/>
      <w:bookmarkEnd w:id="48"/>
      <w:r>
        <w:rPr>
          <w:rFonts w:hint="eastAsia"/>
          <w:color w:val="auto"/>
          <w:highlight w:val="none"/>
        </w:rPr>
        <w:t>存在的问题及整改建议</w:t>
      </w:r>
      <w:bookmarkEnd w:id="49"/>
      <w:bookmarkEnd w:id="50"/>
      <w:bookmarkEnd w:id="51"/>
      <w:bookmarkEnd w:id="52"/>
      <w:bookmarkEnd w:id="53"/>
      <w:bookmarkEnd w:id="54"/>
      <w:bookmarkEnd w:id="55"/>
      <w:bookmarkEnd w:id="56"/>
      <w:bookmarkEnd w:id="57"/>
    </w:p>
    <w:p w14:paraId="3ED4B592">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8" w:name="_Toc15033763"/>
      <w:bookmarkStart w:id="59"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8"/>
      <w:bookmarkEnd w:id="59"/>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014679A2">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11"/>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4636F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7B4FC4B">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453F84D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30D7146A">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0F3B4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BF1765">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3845" w:type="dxa"/>
            <w:vAlign w:val="center"/>
          </w:tcPr>
          <w:p w14:paraId="4EF14EC3">
            <w:pPr>
              <w:jc w:val="center"/>
              <w:rPr>
                <w:rFonts w:hint="default" w:ascii="宋体" w:hAnsi="宋体" w:eastAsia="宋体"/>
                <w:color w:val="auto"/>
                <w:kern w:val="0"/>
                <w:highlight w:val="none"/>
                <w:u w:color="000000"/>
                <w:lang w:val="en-US" w:eastAsia="zh-CN"/>
              </w:rPr>
            </w:pPr>
            <w:r>
              <w:rPr>
                <w:rFonts w:hint="eastAsia" w:ascii="宋体" w:hAnsi="宋体"/>
                <w:color w:val="auto"/>
                <w:kern w:val="0"/>
                <w:highlight w:val="none"/>
                <w:u w:color="000000"/>
                <w:lang w:val="en-US" w:eastAsia="zh-CN"/>
              </w:rPr>
              <w:t>人体静电释放仪距卸油口不足1.5m；</w:t>
            </w:r>
          </w:p>
        </w:tc>
        <w:tc>
          <w:tcPr>
            <w:tcW w:w="4740" w:type="dxa"/>
            <w:shd w:val="clear" w:color="auto" w:fill="auto"/>
            <w:vAlign w:val="center"/>
          </w:tcPr>
          <w:p w14:paraId="1A677D36">
            <w:pPr>
              <w:jc w:val="center"/>
              <w:rPr>
                <w:rFonts w:ascii="宋体" w:hAnsi="宋体"/>
                <w:color w:val="auto"/>
                <w:kern w:val="0"/>
                <w:highlight w:val="none"/>
                <w:u w:color="000000"/>
              </w:rPr>
            </w:pPr>
            <w:r>
              <w:rPr>
                <w:rFonts w:hint="eastAsia" w:ascii="宋体" w:hAnsi="宋体"/>
                <w:color w:val="auto"/>
                <w:kern w:val="0"/>
                <w:highlight w:val="none"/>
                <w:u w:color="000000"/>
                <w:lang w:val="en-US" w:eastAsia="zh-CN"/>
              </w:rPr>
              <w:t>人体静电释放仪距卸油口应不小于1.5m。</w:t>
            </w:r>
          </w:p>
        </w:tc>
      </w:tr>
      <w:tr w14:paraId="11B50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7D8988">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2</w:t>
            </w:r>
          </w:p>
        </w:tc>
        <w:tc>
          <w:tcPr>
            <w:tcW w:w="3845" w:type="dxa"/>
            <w:vAlign w:val="center"/>
          </w:tcPr>
          <w:p w14:paraId="1B120E8F">
            <w:pPr>
              <w:jc w:val="center"/>
              <w:rPr>
                <w:rFonts w:hint="default" w:ascii="宋体" w:hAnsi="宋体" w:eastAsia="宋体"/>
                <w:color w:val="auto"/>
                <w:spacing w:val="10"/>
                <w:highlight w:val="none"/>
                <w:lang w:val="en-US" w:eastAsia="zh-CN"/>
              </w:rPr>
            </w:pPr>
            <w:r>
              <w:rPr>
                <w:rFonts w:hint="eastAsia" w:ascii="宋体" w:hAnsi="宋体"/>
                <w:color w:val="auto"/>
                <w:spacing w:val="10"/>
                <w:highlight w:val="none"/>
                <w:lang w:val="en-US" w:eastAsia="zh-CN"/>
              </w:rPr>
              <w:t>92#油罐操作井内部分管道未设流向标识；</w:t>
            </w:r>
          </w:p>
        </w:tc>
        <w:tc>
          <w:tcPr>
            <w:tcW w:w="4740" w:type="dxa"/>
            <w:shd w:val="clear" w:color="auto" w:fill="auto"/>
            <w:vAlign w:val="center"/>
          </w:tcPr>
          <w:p w14:paraId="1EC54A02">
            <w:pPr>
              <w:jc w:val="center"/>
              <w:rPr>
                <w:rFonts w:ascii="宋体" w:hAnsi="宋体"/>
                <w:color w:val="auto"/>
                <w:spacing w:val="10"/>
                <w:highlight w:val="none"/>
              </w:rPr>
            </w:pPr>
            <w:r>
              <w:rPr>
                <w:rFonts w:hint="eastAsia" w:ascii="宋体" w:hAnsi="宋体"/>
                <w:color w:val="auto"/>
                <w:spacing w:val="10"/>
                <w:highlight w:val="none"/>
                <w:lang w:val="en-US" w:eastAsia="zh-CN"/>
              </w:rPr>
              <w:t>操作井内管道应设流向标识。</w:t>
            </w:r>
          </w:p>
        </w:tc>
      </w:tr>
      <w:tr w14:paraId="6DE99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CCFDD8E">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val="en-US" w:eastAsia="zh-CN"/>
              </w:rPr>
            </w:pPr>
            <w:r>
              <w:rPr>
                <w:rFonts w:hint="eastAsia" w:ascii="宋体" w:hAnsi="宋体"/>
                <w:bCs/>
                <w:color w:val="auto"/>
                <w:kern w:val="0"/>
                <w:position w:val="2"/>
                <w:highlight w:val="none"/>
                <w:u w:color="000000"/>
                <w:lang w:val="en-US" w:eastAsia="zh-CN"/>
              </w:rPr>
              <w:t>3</w:t>
            </w:r>
          </w:p>
        </w:tc>
        <w:tc>
          <w:tcPr>
            <w:tcW w:w="3845" w:type="dxa"/>
            <w:vAlign w:val="center"/>
          </w:tcPr>
          <w:p w14:paraId="185A8D9A">
            <w:pPr>
              <w:jc w:val="center"/>
              <w:rPr>
                <w:rFonts w:hint="eastAsia" w:ascii="宋体" w:hAnsi="宋体"/>
                <w:color w:val="auto"/>
                <w:spacing w:val="10"/>
                <w:highlight w:val="none"/>
                <w:lang w:val="en-US" w:eastAsia="zh-CN"/>
              </w:rPr>
            </w:pPr>
            <w:r>
              <w:rPr>
                <w:rFonts w:hint="eastAsia" w:ascii="宋体" w:hAnsi="宋体"/>
                <w:color w:val="auto"/>
                <w:spacing w:val="10"/>
                <w:highlight w:val="none"/>
                <w:lang w:val="en-US" w:eastAsia="zh-CN"/>
              </w:rPr>
              <w:t>部分加油枪未设油品标识。</w:t>
            </w:r>
          </w:p>
        </w:tc>
        <w:tc>
          <w:tcPr>
            <w:tcW w:w="4740" w:type="dxa"/>
            <w:shd w:val="clear" w:color="auto" w:fill="auto"/>
            <w:vAlign w:val="center"/>
          </w:tcPr>
          <w:p w14:paraId="3B2F5672">
            <w:pPr>
              <w:jc w:val="center"/>
              <w:rPr>
                <w:rFonts w:hint="default" w:ascii="宋体" w:hAnsi="宋体"/>
                <w:color w:val="auto"/>
                <w:spacing w:val="10"/>
                <w:highlight w:val="none"/>
                <w:lang w:val="en-US" w:eastAsia="zh-CN"/>
              </w:rPr>
            </w:pPr>
            <w:r>
              <w:rPr>
                <w:rFonts w:hint="eastAsia" w:ascii="宋体" w:hAnsi="宋体"/>
                <w:color w:val="auto"/>
                <w:spacing w:val="10"/>
                <w:highlight w:val="none"/>
                <w:lang w:val="en-US" w:eastAsia="zh-CN"/>
              </w:rPr>
              <w:t>加油枪应设油品标识。</w:t>
            </w:r>
          </w:p>
        </w:tc>
      </w:tr>
    </w:tbl>
    <w:p w14:paraId="13379AD0">
      <w:pPr>
        <w:pStyle w:val="17"/>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color w:val="auto"/>
          <w:kern w:val="0"/>
          <w:sz w:val="28"/>
          <w:szCs w:val="20"/>
          <w:highlight w:val="none"/>
        </w:rPr>
        <w:t>该加油站在安全管理、站址选择及总平面布置、加油工艺及设施、其它设施等方面符合有关法律、标准规范的要求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6"/>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60085" cy="8868410"/>
            <wp:effectExtent l="0" t="0" r="12065" b="889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5760085" cy="886841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60085" cy="8589010"/>
            <wp:effectExtent l="0" t="0" r="12065" b="254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760085" cy="8589010"/>
                    </a:xfrm>
                    <a:prstGeom prst="rect">
                      <a:avLst/>
                    </a:prstGeom>
                  </pic:spPr>
                </pic:pic>
              </a:graphicData>
            </a:graphic>
          </wp:inline>
        </w:drawing>
      </w:r>
      <w:bookmarkStart w:id="60" w:name="_GoBack"/>
      <w:r>
        <w:rPr>
          <w:rFonts w:hint="eastAsia" w:eastAsiaTheme="minorEastAsia"/>
          <w:color w:val="auto"/>
          <w:sz w:val="28"/>
          <w:szCs w:val="20"/>
          <w:lang w:eastAsia="zh-CN"/>
        </w:rPr>
        <w:drawing>
          <wp:inline distT="0" distB="0" distL="114300" distR="114300">
            <wp:extent cx="5749290" cy="8747760"/>
            <wp:effectExtent l="0" t="0" r="3810" b="1524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5749290" cy="8747760"/>
                    </a:xfrm>
                    <a:prstGeom prst="rect">
                      <a:avLst/>
                    </a:prstGeom>
                  </pic:spPr>
                </pic:pic>
              </a:graphicData>
            </a:graphic>
          </wp:inline>
        </w:drawing>
      </w:r>
      <w:bookmarkEnd w:id="60"/>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5616C04"/>
    <w:rsid w:val="09D5345C"/>
    <w:rsid w:val="0A27015B"/>
    <w:rsid w:val="0BD51C61"/>
    <w:rsid w:val="0D0B1052"/>
    <w:rsid w:val="0EC853E9"/>
    <w:rsid w:val="0EDC1223"/>
    <w:rsid w:val="13C277AD"/>
    <w:rsid w:val="13D12EE6"/>
    <w:rsid w:val="153C4810"/>
    <w:rsid w:val="16BC1C2B"/>
    <w:rsid w:val="1C0A6ED6"/>
    <w:rsid w:val="1E1E483E"/>
    <w:rsid w:val="22CB7136"/>
    <w:rsid w:val="284F788D"/>
    <w:rsid w:val="28E348A1"/>
    <w:rsid w:val="2A9D36CA"/>
    <w:rsid w:val="2E374561"/>
    <w:rsid w:val="2EB02BD7"/>
    <w:rsid w:val="2EC41433"/>
    <w:rsid w:val="315D76A2"/>
    <w:rsid w:val="32DB1C5F"/>
    <w:rsid w:val="335F1F61"/>
    <w:rsid w:val="354E2190"/>
    <w:rsid w:val="354E3BE7"/>
    <w:rsid w:val="355F439E"/>
    <w:rsid w:val="35CC29B8"/>
    <w:rsid w:val="37224F7B"/>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5373F31"/>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4">
    <w:name w:val="Normal Indent"/>
    <w:basedOn w:val="1"/>
    <w:qFormat/>
    <w:uiPriority w:val="99"/>
    <w:pPr>
      <w:ind w:firstLine="420"/>
    </w:pPr>
  </w:style>
  <w:style w:type="paragraph" w:styleId="5">
    <w:name w:val="annotation text"/>
    <w:basedOn w:val="1"/>
    <w:qFormat/>
    <w:uiPriority w:val="0"/>
    <w:pPr>
      <w:jc w:val="left"/>
    </w:pPr>
  </w:style>
  <w:style w:type="paragraph" w:styleId="6">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7">
    <w:name w:val="Body Text Indent"/>
    <w:basedOn w:val="1"/>
    <w:qFormat/>
    <w:uiPriority w:val="0"/>
    <w:pPr>
      <w:spacing w:after="120"/>
      <w:ind w:left="420" w:leftChars="200"/>
    </w:pPr>
  </w:style>
  <w:style w:type="paragraph" w:styleId="8">
    <w:name w:val="Plain Text"/>
    <w:basedOn w:val="1"/>
    <w:unhideWhenUsed/>
    <w:qFormat/>
    <w:uiPriority w:val="99"/>
    <w:rPr>
      <w:rFonts w:ascii="宋体" w:hAnsi="Courier New"/>
      <w:kern w:val="0"/>
      <w:sz w:val="20"/>
      <w:szCs w:val="20"/>
    </w:rPr>
  </w:style>
  <w:style w:type="paragraph" w:styleId="9">
    <w:name w:val="Body Text First Indent"/>
    <w:basedOn w:val="6"/>
    <w:next w:val="1"/>
    <w:qFormat/>
    <w:uiPriority w:val="0"/>
    <w:pPr>
      <w:ind w:firstLine="420" w:firstLineChars="100"/>
    </w:pPr>
    <w:rPr>
      <w:b/>
      <w:u w:val="single"/>
    </w:rPr>
  </w:style>
  <w:style w:type="paragraph" w:styleId="10">
    <w:name w:val="Body Text First Indent 2"/>
    <w:basedOn w:val="7"/>
    <w:next w:val="1"/>
    <w:qFormat/>
    <w:uiPriority w:val="0"/>
    <w:pPr>
      <w:tabs>
        <w:tab w:val="left" w:pos="6120"/>
      </w:tabs>
      <w:spacing w:line="520" w:lineRule="exact"/>
      <w:ind w:left="0" w:leftChars="0"/>
    </w:pPr>
    <w:rPr>
      <w:rFonts w:ascii="黑体" w:hAnsi="黑体" w:eastAsia="黑体" w:cs="宋体"/>
      <w:sz w:val="28"/>
    </w:rPr>
  </w:style>
  <w:style w:type="paragraph" w:customStyle="1" w:styleId="13">
    <w:name w:val="111"/>
    <w:basedOn w:val="14"/>
    <w:qFormat/>
    <w:uiPriority w:val="0"/>
    <w:pPr>
      <w:widowControl/>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eastAsia="en-US"/>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8"/>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3348</Words>
  <Characters>3645</Characters>
  <Lines>25</Lines>
  <Paragraphs>7</Paragraphs>
  <TotalTime>1</TotalTime>
  <ScaleCrop>false</ScaleCrop>
  <LinksUpToDate>false</LinksUpToDate>
  <CharactersWithSpaces>3683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2025-09-19T07:37:23Z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