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B3A9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7A57BC9C">
      <w:pPr>
        <w:rPr>
          <w:rFonts w:hint="eastAsia"/>
          <w:sz w:val="21"/>
          <w:szCs w:val="21"/>
          <w:lang w:val="en-US" w:eastAsia="zh-CN"/>
        </w:rPr>
      </w:pPr>
      <w:r>
        <w:rPr>
          <w:rFonts w:hint="eastAsia"/>
          <w:sz w:val="21"/>
          <w:szCs w:val="21"/>
          <w:lang w:val="en-US" w:eastAsia="zh-CN"/>
        </w:rPr>
        <w:t>项目编号：</w:t>
      </w:r>
    </w:p>
    <w:tbl>
      <w:tblPr>
        <w:tblStyle w:val="7"/>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4C7CA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3341165">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7035C3AC">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中国石化山东泰山石油股份有限公司泰安第三十四加油站</w:t>
            </w:r>
          </w:p>
        </w:tc>
      </w:tr>
      <w:tr w14:paraId="73DE5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3F8DCA90">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50750E33">
            <w:pPr>
              <w:adjustRightInd w:val="0"/>
              <w:snapToGrid w:val="0"/>
              <w:spacing w:line="240" w:lineRule="auto"/>
              <w:rPr>
                <w:rFonts w:hint="eastAsia" w:ascii="宋体" w:hAnsi="宋体"/>
                <w:sz w:val="20"/>
                <w:szCs w:val="24"/>
                <w:lang w:val="en-US" w:eastAsia="zh-CN"/>
              </w:rPr>
            </w:pPr>
            <w:r>
              <w:rPr>
                <w:rFonts w:hint="eastAsia" w:ascii="宋体" w:hAnsi="宋体"/>
                <w:sz w:val="20"/>
                <w:szCs w:val="24"/>
                <w:lang w:val="en-US" w:eastAsia="zh-CN"/>
              </w:rPr>
              <w:t>中国石化山东泰山石油股份有限公司泰安第三十四加油站位于山东省山东省泰安市高新区北集坡街道东河北村104国道 546.5公里处路西。加油站东侧为长城路，北侧为树林，西侧为空地，南侧为京台高速。该站经营许可范围为汽油、柴油、乙醇汽油，现其主要经营储存汽油、柴油（换季销售-10#柴油）。此次现状评价报告与上次报告相比，站区加油区新增3台可燃气体探测器，1台加油机更新（单枪变为双枪，油品未发生变化），其余周边环境、站内设备设施、主要建构筑物均未发生变化。</w:t>
            </w:r>
          </w:p>
          <w:p w14:paraId="655F0F9E">
            <w:pPr>
              <w:adjustRightInd w:val="0"/>
              <w:snapToGrid w:val="0"/>
              <w:spacing w:line="240" w:lineRule="auto"/>
              <w:rPr>
                <w:rFonts w:hint="eastAsia" w:ascii="宋体" w:hAnsi="宋体" w:eastAsia="宋体" w:cs="宋体"/>
                <w:b w:val="0"/>
                <w:bCs w:val="0"/>
                <w:color w:val="auto"/>
                <w:kern w:val="0"/>
                <w:sz w:val="21"/>
                <w:szCs w:val="21"/>
                <w:highlight w:val="none"/>
              </w:rPr>
            </w:pPr>
            <w:r>
              <w:rPr>
                <w:rFonts w:hint="eastAsia" w:ascii="宋体" w:hAnsi="宋体"/>
                <w:sz w:val="20"/>
                <w:szCs w:val="24"/>
                <w:lang w:val="en-US" w:eastAsia="zh-CN"/>
              </w:rPr>
              <w:t>该加油站主要建有站房、罩棚、油罐区和加油区等。加油区在站房东侧，现有3台双枪加油机3台单枪加油机，均为自吸式；油罐区在站房北侧，位于非车行道下，现有4台30m</w:t>
            </w:r>
            <w:r>
              <w:rPr>
                <w:rFonts w:hint="eastAsia" w:ascii="宋体" w:hAnsi="宋体"/>
                <w:sz w:val="20"/>
                <w:szCs w:val="24"/>
                <w:vertAlign w:val="superscript"/>
                <w:lang w:val="en-US" w:eastAsia="zh-CN"/>
              </w:rPr>
              <w:t>3</w:t>
            </w:r>
            <w:r>
              <w:rPr>
                <w:rFonts w:hint="eastAsia" w:ascii="宋体" w:hAnsi="宋体"/>
                <w:sz w:val="20"/>
                <w:szCs w:val="24"/>
                <w:lang w:val="en-US" w:eastAsia="zh-CN"/>
              </w:rPr>
              <w:t>卧式双层储罐，包括1台92#汽油罐、1台95#汽油罐、1台98#汽油罐、1台柴油罐，4台油罐均安装了液位仪、检漏仪，其油罐埋地设置，通气管4根；站房南侧设站内附房（内设配电室），附房东南侧设箱式变压器1台，箱式变压器东侧设洗车机1台；该站汽油设有卸油油气回收系统、加油油气回收系统及油气回收处理装置；按《汽车加油加气加氢站技术标准》GB50156-2021标准规定：V=105m</w:t>
            </w:r>
            <w:r>
              <w:rPr>
                <w:rFonts w:hint="eastAsia" w:ascii="宋体" w:hAnsi="宋体"/>
                <w:sz w:val="20"/>
                <w:szCs w:val="24"/>
                <w:vertAlign w:val="superscript"/>
                <w:lang w:val="en-US" w:eastAsia="zh-CN"/>
              </w:rPr>
              <w:t>3</w:t>
            </w:r>
            <w:r>
              <w:rPr>
                <w:rFonts w:hint="eastAsia" w:ascii="宋体" w:hAnsi="宋体"/>
                <w:sz w:val="20"/>
                <w:szCs w:val="24"/>
                <w:lang w:val="en-US" w:eastAsia="zh-CN"/>
              </w:rPr>
              <w:t>，该站属二级加油站。</w:t>
            </w:r>
          </w:p>
        </w:tc>
      </w:tr>
      <w:tr w14:paraId="6C0547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CB40D8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44B4B812">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1FCBB86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6BF92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E120E7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73E7DF0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23E16B3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FD0E9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6086F46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706C29C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237809B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A36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58CF63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471CC88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7BF3D16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42B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D8F6F5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8214A3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刘振忠</w:t>
            </w:r>
          </w:p>
        </w:tc>
        <w:tc>
          <w:tcPr>
            <w:tcW w:w="2918" w:type="dxa"/>
            <w:tcBorders>
              <w:tl2br w:val="nil"/>
              <w:tr2bl w:val="nil"/>
            </w:tcBorders>
            <w:shd w:val="clear" w:color="auto" w:fill="auto"/>
            <w:noWrap/>
            <w:vAlign w:val="center"/>
          </w:tcPr>
          <w:p w14:paraId="4454A16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6871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F4EDAE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66233AE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  静</w:t>
            </w:r>
          </w:p>
        </w:tc>
        <w:tc>
          <w:tcPr>
            <w:tcW w:w="2918" w:type="dxa"/>
            <w:tcBorders>
              <w:tl2br w:val="nil"/>
              <w:tr2bl w:val="nil"/>
            </w:tcBorders>
            <w:shd w:val="clear" w:color="auto" w:fill="auto"/>
            <w:noWrap/>
            <w:vAlign w:val="center"/>
          </w:tcPr>
          <w:p w14:paraId="417B7B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3493A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7502101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6668269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4DA7082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47C2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3D8316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27AD443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刘振忠</w:t>
            </w:r>
          </w:p>
        </w:tc>
        <w:tc>
          <w:tcPr>
            <w:tcW w:w="2918" w:type="dxa"/>
            <w:tcBorders>
              <w:tl2br w:val="nil"/>
              <w:tr2bl w:val="nil"/>
            </w:tcBorders>
            <w:shd w:val="clear" w:color="auto" w:fill="auto"/>
            <w:noWrap/>
            <w:vAlign w:val="center"/>
          </w:tcPr>
          <w:p w14:paraId="7FAEEC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96E8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A740C7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1B9378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475BE5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83A4C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E3A63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5F4D32A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  虎</w:t>
            </w:r>
          </w:p>
        </w:tc>
        <w:tc>
          <w:tcPr>
            <w:tcW w:w="2918" w:type="dxa"/>
            <w:tcBorders>
              <w:tl2br w:val="nil"/>
              <w:tr2bl w:val="nil"/>
            </w:tcBorders>
            <w:shd w:val="clear" w:color="auto" w:fill="auto"/>
            <w:noWrap/>
            <w:vAlign w:val="center"/>
          </w:tcPr>
          <w:p w14:paraId="0CF7197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08710C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DC1F94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69F73D9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71B8CF9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1D8A5C6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763D4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27BF893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5FE832B3">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77464E9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5240011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767DC8D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48E9F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41564D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7CA163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2023.10.16</w:t>
            </w:r>
          </w:p>
        </w:tc>
        <w:tc>
          <w:tcPr>
            <w:tcW w:w="2350" w:type="dxa"/>
            <w:tcBorders>
              <w:tl2br w:val="nil"/>
              <w:tr2bl w:val="nil"/>
            </w:tcBorders>
            <w:shd w:val="clear" w:color="auto" w:fill="auto"/>
            <w:noWrap/>
            <w:vAlign w:val="center"/>
          </w:tcPr>
          <w:p w14:paraId="5F951CA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A0D727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485A9E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9F8E4F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B64544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2024.10.11</w:t>
            </w:r>
          </w:p>
        </w:tc>
        <w:tc>
          <w:tcPr>
            <w:tcW w:w="2350" w:type="dxa"/>
            <w:tcBorders>
              <w:tl2br w:val="nil"/>
              <w:tr2bl w:val="nil"/>
            </w:tcBorders>
            <w:shd w:val="clear" w:color="auto" w:fill="auto"/>
            <w:noWrap/>
            <w:vAlign w:val="center"/>
          </w:tcPr>
          <w:p w14:paraId="69AEC73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C8D8C8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0B67B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F5F5E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46D9683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2024.10.15</w:t>
            </w:r>
          </w:p>
        </w:tc>
        <w:tc>
          <w:tcPr>
            <w:tcW w:w="2350" w:type="dxa"/>
            <w:tcBorders>
              <w:tl2br w:val="nil"/>
              <w:tr2bl w:val="nil"/>
            </w:tcBorders>
            <w:shd w:val="clear" w:color="auto" w:fill="auto"/>
            <w:noWrap/>
            <w:vAlign w:val="center"/>
          </w:tcPr>
          <w:p w14:paraId="4FC9AA0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3DDF3E3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2ABB47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E76A09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4217E0F5">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2024.10.21</w:t>
            </w:r>
          </w:p>
        </w:tc>
        <w:tc>
          <w:tcPr>
            <w:tcW w:w="2350" w:type="dxa"/>
            <w:tcBorders>
              <w:tl2br w:val="nil"/>
              <w:tr2bl w:val="nil"/>
            </w:tcBorders>
            <w:shd w:val="clear" w:color="auto" w:fill="auto"/>
            <w:noWrap/>
            <w:vAlign w:val="center"/>
          </w:tcPr>
          <w:p w14:paraId="4E97D39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62B37A45">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现场核查</w:t>
            </w:r>
          </w:p>
        </w:tc>
      </w:tr>
      <w:tr w14:paraId="59D3E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1E217AFE">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安全评价报告提交时间：2024.12.2</w:t>
            </w:r>
          </w:p>
        </w:tc>
      </w:tr>
      <w:tr w14:paraId="520FB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6F94C4E7">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0998702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2A3A971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4C8FFBC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中国石化山东泰山石油股份有限公司泰安第三十四加油站安全现状评价现场照片</w:t>
      </w:r>
    </w:p>
    <w:p w14:paraId="1A062D6F">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lang w:val="en-US" w:eastAsia="zh-CN"/>
        </w:rPr>
        <w:drawing>
          <wp:inline distT="0" distB="0" distL="114300" distR="114300">
            <wp:extent cx="5758815" cy="4319270"/>
            <wp:effectExtent l="0" t="0" r="13335" b="5080"/>
            <wp:docPr id="6" name="图片 6" descr="IMG_20241015_08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015_083201"/>
                    <pic:cNvPicPr>
                      <a:picLocks noChangeAspect="1"/>
                    </pic:cNvPicPr>
                  </pic:nvPicPr>
                  <pic:blipFill>
                    <a:blip r:embed="rId4"/>
                    <a:stretch>
                      <a:fillRect/>
                    </a:stretch>
                  </pic:blipFill>
                  <pic:spPr>
                    <a:xfrm>
                      <a:off x="0" y="0"/>
                      <a:ext cx="5758815" cy="4319270"/>
                    </a:xfrm>
                    <a:prstGeom prst="rect">
                      <a:avLst/>
                    </a:prstGeom>
                  </pic:spPr>
                </pic:pic>
              </a:graphicData>
            </a:graphic>
          </wp:inline>
        </w:drawing>
      </w:r>
      <w:r>
        <w:rPr>
          <w:rFonts w:hint="default"/>
          <w:lang w:val="en-US" w:eastAsia="zh-CN"/>
        </w:rPr>
        <w:drawing>
          <wp:inline distT="0" distB="0" distL="114300" distR="114300">
            <wp:extent cx="5758815" cy="4319270"/>
            <wp:effectExtent l="0" t="0" r="13335" b="5080"/>
            <wp:docPr id="5" name="图片 5" descr="IMG_20241015_08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015_083209"/>
                    <pic:cNvPicPr>
                      <a:picLocks noChangeAspect="1"/>
                    </pic:cNvPicPr>
                  </pic:nvPicPr>
                  <pic:blipFill>
                    <a:blip r:embed="rId5"/>
                    <a:stretch>
                      <a:fillRect/>
                    </a:stretch>
                  </pic:blipFill>
                  <pic:spPr>
                    <a:xfrm>
                      <a:off x="0" y="0"/>
                      <a:ext cx="5758815" cy="4319270"/>
                    </a:xfrm>
                    <a:prstGeom prst="rect">
                      <a:avLst/>
                    </a:prstGeom>
                  </pic:spPr>
                </pic:pic>
              </a:graphicData>
            </a:graphic>
          </wp:inline>
        </w:drawing>
      </w:r>
    </w:p>
    <w:p w14:paraId="16CDF603">
      <w:pPr>
        <w:pStyle w:val="14"/>
        <w:widowControl w:val="0"/>
        <w:adjustRightInd w:val="0"/>
        <w:snapToGrid w:val="0"/>
        <w:spacing w:before="468" w:beforeLines="150" w:after="156" w:afterLines="50" w:line="360" w:lineRule="auto"/>
      </w:pPr>
      <w:bookmarkStart w:id="0" w:name="_Toc102633969"/>
      <w:bookmarkStart w:id="1" w:name="_Toc102633895"/>
      <w:bookmarkStart w:id="2" w:name="_Toc102634395"/>
      <w:bookmarkStart w:id="3" w:name="_Toc15033742"/>
      <w:bookmarkStart w:id="4" w:name="_Toc102634226"/>
      <w:r>
        <w:t>第二章 加油站概况</w:t>
      </w:r>
      <w:bookmarkEnd w:id="0"/>
      <w:bookmarkEnd w:id="1"/>
      <w:bookmarkEnd w:id="2"/>
      <w:bookmarkEnd w:id="3"/>
      <w:bookmarkEnd w:id="4"/>
    </w:p>
    <w:p w14:paraId="187FE23E">
      <w:pPr>
        <w:adjustRightInd w:val="0"/>
        <w:snapToGrid w:val="0"/>
        <w:spacing w:line="360" w:lineRule="auto"/>
        <w:jc w:val="center"/>
        <w:outlineLvl w:val="1"/>
        <w:rPr>
          <w:rFonts w:ascii="Calibri" w:hAnsi="Calibri" w:eastAsia="楷体_GB2312"/>
          <w:b/>
          <w:kern w:val="0"/>
          <w:sz w:val="32"/>
          <w:szCs w:val="20"/>
        </w:rPr>
      </w:pPr>
      <w:bookmarkStart w:id="5" w:name="_Toc102633970"/>
      <w:bookmarkStart w:id="6" w:name="_Toc30066"/>
      <w:bookmarkStart w:id="7" w:name="_Toc272364524"/>
      <w:bookmarkStart w:id="8" w:name="_Toc26504"/>
      <w:bookmarkStart w:id="9" w:name="_Toc102633896"/>
      <w:bookmarkStart w:id="10" w:name="_Toc102634227"/>
      <w:bookmarkStart w:id="11" w:name="_Toc15033743"/>
      <w:bookmarkStart w:id="12" w:name="_Toc102634396"/>
      <w:bookmarkStart w:id="13" w:name="_Toc208733856"/>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56049B48">
      <w:pPr>
        <w:adjustRightInd w:val="0"/>
        <w:snapToGrid w:val="0"/>
        <w:spacing w:line="360" w:lineRule="auto"/>
        <w:ind w:firstLine="560" w:firstLineChars="200"/>
        <w:rPr>
          <w:rFonts w:ascii="宋体"/>
        </w:rPr>
      </w:pPr>
      <w:r>
        <w:rPr>
          <w:rFonts w:hint="eastAsia" w:ascii="宋体" w:hAnsi="宋体"/>
          <w:sz w:val="28"/>
          <w:szCs w:val="28"/>
          <w:lang w:eastAsia="zh-CN"/>
        </w:rPr>
        <w:t>中国石化山东泰山石油股份有限公司泰安第三十四加油站</w:t>
      </w:r>
      <w:r>
        <w:rPr>
          <w:rFonts w:hint="eastAsia" w:ascii="宋体" w:hAnsi="宋体"/>
          <w:sz w:val="28"/>
          <w:szCs w:val="28"/>
        </w:rPr>
        <w:t>位于山东省</w:t>
      </w:r>
      <w:r>
        <w:rPr>
          <w:rFonts w:hint="eastAsia" w:ascii="宋体" w:hAnsi="宋体"/>
          <w:sz w:val="28"/>
          <w:szCs w:val="28"/>
          <w:lang w:eastAsia="zh-CN"/>
        </w:rPr>
        <w:t>山东省泰安市高新区北集坡街道东河北村104国道 546.5公里处路西</w:t>
      </w:r>
      <w:r>
        <w:rPr>
          <w:rFonts w:hint="eastAsia" w:ascii="宋体" w:hAnsi="宋体" w:cs="宋体"/>
          <w:sz w:val="28"/>
          <w:szCs w:val="28"/>
        </w:rPr>
        <w:t>。加油站</w:t>
      </w:r>
      <w:r>
        <w:rPr>
          <w:rFonts w:hint="eastAsia" w:ascii="宋体" w:hAnsi="宋体" w:cs="宋体"/>
          <w:sz w:val="28"/>
          <w:szCs w:val="28"/>
          <w:lang w:eastAsia="zh-CN"/>
        </w:rPr>
        <w:t>东侧为长城路，北侧为树林，西侧为空地，南侧为京台高速</w:t>
      </w:r>
      <w:r>
        <w:rPr>
          <w:rFonts w:hint="eastAsia" w:ascii="宋体" w:hAnsi="宋体" w:cs="宋体"/>
          <w:sz w:val="28"/>
          <w:szCs w:val="28"/>
        </w:rPr>
        <w:t>。</w:t>
      </w:r>
      <w:r>
        <w:rPr>
          <w:rFonts w:hint="eastAsia" w:ascii="宋体" w:hAnsi="宋体"/>
          <w:sz w:val="28"/>
        </w:rPr>
        <w:t>该站经营许可范围为汽油、柴油、乙醇汽油，现其主要经营储存汽油、柴油（换季销售-</w:t>
      </w:r>
      <w:r>
        <w:rPr>
          <w:rFonts w:ascii="宋体" w:hAnsi="宋体"/>
          <w:sz w:val="28"/>
        </w:rPr>
        <w:t>10#</w:t>
      </w:r>
      <w:r>
        <w:rPr>
          <w:rFonts w:hint="eastAsia" w:ascii="宋体" w:hAnsi="宋体"/>
          <w:sz w:val="28"/>
        </w:rPr>
        <w:t>柴油）</w:t>
      </w:r>
      <w:r>
        <w:rPr>
          <w:rFonts w:hint="eastAsia" w:ascii="宋体" w:hAnsi="宋体"/>
          <w:snapToGrid w:val="0"/>
          <w:kern w:val="0"/>
          <w:sz w:val="28"/>
        </w:rPr>
        <w:t>。</w:t>
      </w:r>
      <w:r>
        <w:rPr>
          <w:rFonts w:hint="eastAsia" w:ascii="宋体" w:hAnsi="宋体"/>
          <w:sz w:val="28"/>
        </w:rPr>
        <w:t>此次现状评价报告与</w:t>
      </w:r>
      <w:r>
        <w:rPr>
          <w:rFonts w:hint="eastAsia" w:ascii="宋体" w:hAnsi="宋体"/>
          <w:sz w:val="28"/>
          <w:lang w:val="en-US" w:eastAsia="zh-CN"/>
        </w:rPr>
        <w:t>上次</w:t>
      </w:r>
      <w:r>
        <w:rPr>
          <w:rFonts w:hint="eastAsia" w:ascii="宋体" w:hAnsi="宋体"/>
          <w:sz w:val="28"/>
        </w:rPr>
        <w:t>报告相比，</w:t>
      </w:r>
      <w:r>
        <w:rPr>
          <w:rFonts w:hint="eastAsia" w:ascii="宋体" w:hAnsi="宋体"/>
          <w:sz w:val="28"/>
          <w:lang w:val="en-US" w:eastAsia="zh-CN"/>
        </w:rPr>
        <w:t>站区加油区新增3台可燃气体探测器，1台加油机更新（单枪变为双枪，油品未发生变化），其余</w:t>
      </w:r>
      <w:r>
        <w:rPr>
          <w:rFonts w:hint="eastAsia" w:ascii="宋体" w:hAnsi="宋体"/>
          <w:sz w:val="28"/>
        </w:rPr>
        <w:t>周边环境、站内设备设施、主要建构筑物</w:t>
      </w:r>
      <w:r>
        <w:rPr>
          <w:rFonts w:hint="eastAsia" w:ascii="宋体" w:hAnsi="宋体"/>
          <w:sz w:val="28"/>
          <w:lang w:val="en-US" w:eastAsia="zh-CN"/>
        </w:rPr>
        <w:t>均</w:t>
      </w:r>
      <w:r>
        <w:rPr>
          <w:rFonts w:hint="eastAsia" w:ascii="宋体" w:hAnsi="宋体"/>
          <w:sz w:val="28"/>
        </w:rPr>
        <w:t>未发生变化。</w:t>
      </w:r>
    </w:p>
    <w:p w14:paraId="320BBBD6">
      <w:pPr>
        <w:pStyle w:val="13"/>
        <w:widowControl w:val="0"/>
        <w:adjustRightInd w:val="0"/>
        <w:snapToGrid w:val="0"/>
        <w:spacing w:line="360" w:lineRule="auto"/>
        <w:ind w:firstLine="560"/>
        <w:rPr>
          <w:rFonts w:ascii="宋体"/>
          <w:vertAlign w:val="superscript"/>
        </w:rPr>
      </w:pPr>
      <w:r>
        <w:rPr>
          <w:rFonts w:hint="eastAsia" w:ascii="宋体" w:hAnsi="宋体"/>
          <w:szCs w:val="28"/>
        </w:rPr>
        <w:t>该加油站主要建有站房、罩棚、油罐区和加油区等。加油区在站房</w:t>
      </w:r>
      <w:r>
        <w:rPr>
          <w:rFonts w:hint="eastAsia" w:ascii="宋体" w:hAnsi="宋体"/>
          <w:szCs w:val="28"/>
          <w:lang w:val="en-US" w:eastAsia="zh-CN"/>
        </w:rPr>
        <w:t>东</w:t>
      </w:r>
      <w:r>
        <w:rPr>
          <w:rFonts w:hint="eastAsia" w:ascii="宋体" w:hAnsi="宋体"/>
          <w:szCs w:val="28"/>
        </w:rPr>
        <w:t>侧，现有</w:t>
      </w:r>
      <w:r>
        <w:rPr>
          <w:rFonts w:hint="eastAsia" w:ascii="宋体" w:hAnsi="宋体"/>
          <w:szCs w:val="28"/>
          <w:lang w:val="en-US" w:eastAsia="zh-CN"/>
        </w:rPr>
        <w:t>3</w:t>
      </w:r>
      <w:r>
        <w:rPr>
          <w:rFonts w:hint="eastAsia" w:ascii="宋体" w:hAnsi="宋体"/>
          <w:szCs w:val="28"/>
        </w:rPr>
        <w:t>台</w:t>
      </w:r>
      <w:r>
        <w:rPr>
          <w:rFonts w:hint="eastAsia" w:ascii="宋体" w:hAnsi="宋体"/>
          <w:szCs w:val="28"/>
          <w:lang w:val="en-US" w:eastAsia="zh-CN"/>
        </w:rPr>
        <w:t>双</w:t>
      </w:r>
      <w:r>
        <w:rPr>
          <w:rFonts w:hint="eastAsia" w:ascii="宋体" w:hAnsi="宋体"/>
          <w:szCs w:val="28"/>
        </w:rPr>
        <w:t>枪加油机</w:t>
      </w:r>
      <w:r>
        <w:rPr>
          <w:rFonts w:hint="eastAsia" w:ascii="宋体" w:hAnsi="宋体"/>
          <w:szCs w:val="28"/>
          <w:lang w:val="en-US" w:eastAsia="zh-CN"/>
        </w:rPr>
        <w:t>3</w:t>
      </w:r>
      <w:r>
        <w:rPr>
          <w:rFonts w:hint="eastAsia" w:ascii="宋体" w:hAnsi="宋体"/>
          <w:szCs w:val="28"/>
        </w:rPr>
        <w:t>台</w:t>
      </w:r>
      <w:r>
        <w:rPr>
          <w:rFonts w:hint="eastAsia" w:ascii="宋体" w:hAnsi="宋体"/>
          <w:szCs w:val="28"/>
          <w:lang w:val="en-US" w:eastAsia="zh-CN"/>
        </w:rPr>
        <w:t>单</w:t>
      </w:r>
      <w:r>
        <w:rPr>
          <w:rFonts w:hint="eastAsia" w:ascii="宋体" w:hAnsi="宋体"/>
          <w:szCs w:val="28"/>
        </w:rPr>
        <w:t>枪加油机，均为</w:t>
      </w:r>
      <w:r>
        <w:rPr>
          <w:rFonts w:hint="eastAsia" w:ascii="宋体" w:hAnsi="宋体"/>
          <w:szCs w:val="28"/>
          <w:lang w:val="en-US" w:eastAsia="zh-CN"/>
        </w:rPr>
        <w:t>自吸</w:t>
      </w:r>
      <w:r>
        <w:rPr>
          <w:rFonts w:hint="eastAsia" w:ascii="宋体" w:hAnsi="宋体"/>
          <w:szCs w:val="28"/>
        </w:rPr>
        <w:t>式；油罐区在站房</w:t>
      </w:r>
      <w:r>
        <w:rPr>
          <w:rFonts w:hint="eastAsia" w:ascii="宋体" w:hAnsi="宋体"/>
          <w:szCs w:val="28"/>
          <w:lang w:val="en-US" w:eastAsia="zh-CN"/>
        </w:rPr>
        <w:t>北</w:t>
      </w:r>
      <w:r>
        <w:rPr>
          <w:rFonts w:hint="eastAsia" w:ascii="宋体" w:hAnsi="宋体"/>
          <w:szCs w:val="28"/>
        </w:rPr>
        <w:t>侧，位于非车行道下，现有4台30m</w:t>
      </w:r>
      <w:r>
        <w:rPr>
          <w:rFonts w:hint="eastAsia" w:ascii="宋体" w:hAnsi="宋体"/>
          <w:szCs w:val="28"/>
          <w:vertAlign w:val="superscript"/>
        </w:rPr>
        <w:t>3</w:t>
      </w:r>
      <w:r>
        <w:rPr>
          <w:rFonts w:hint="eastAsia" w:ascii="宋体" w:hAnsi="宋体"/>
          <w:szCs w:val="28"/>
        </w:rPr>
        <w:t>卧式双层储罐，包括1台92#汽油罐、1台95#汽油罐、1台9</w:t>
      </w:r>
      <w:r>
        <w:rPr>
          <w:rFonts w:hint="eastAsia" w:ascii="宋体" w:hAnsi="宋体"/>
          <w:szCs w:val="28"/>
          <w:lang w:val="en-US" w:eastAsia="zh-CN"/>
        </w:rPr>
        <w:t>8</w:t>
      </w:r>
      <w:r>
        <w:rPr>
          <w:rFonts w:hint="eastAsia" w:ascii="宋体" w:hAnsi="宋体"/>
          <w:szCs w:val="28"/>
        </w:rPr>
        <w:t>#汽油罐、</w:t>
      </w:r>
      <w:r>
        <w:rPr>
          <w:rFonts w:hint="eastAsia" w:ascii="宋体" w:hAnsi="宋体"/>
          <w:szCs w:val="28"/>
          <w:lang w:val="en-US" w:eastAsia="zh-CN"/>
        </w:rPr>
        <w:t>1</w:t>
      </w:r>
      <w:r>
        <w:rPr>
          <w:rFonts w:hint="eastAsia" w:ascii="宋体" w:hAnsi="宋体"/>
          <w:szCs w:val="28"/>
        </w:rPr>
        <w:t>台柴油罐，4台油罐均安装了液位仪、检漏仪，其油罐埋地设置，通气管</w:t>
      </w:r>
      <w:r>
        <w:rPr>
          <w:rFonts w:hint="eastAsia" w:ascii="宋体" w:hAnsi="宋体"/>
          <w:szCs w:val="28"/>
          <w:lang w:val="en-US" w:eastAsia="zh-CN"/>
        </w:rPr>
        <w:t>4</w:t>
      </w:r>
      <w:r>
        <w:rPr>
          <w:rFonts w:hint="eastAsia" w:ascii="宋体" w:hAnsi="宋体"/>
          <w:szCs w:val="28"/>
        </w:rPr>
        <w:t>根；</w:t>
      </w:r>
      <w:r>
        <w:rPr>
          <w:rFonts w:hint="eastAsia" w:ascii="宋体" w:hAnsi="宋体"/>
          <w:szCs w:val="28"/>
          <w:lang w:val="en-US" w:eastAsia="zh-CN"/>
        </w:rPr>
        <w:t>站房南侧设站内附房（内设配电室），附房东南侧</w:t>
      </w:r>
      <w:r>
        <w:rPr>
          <w:rFonts w:hint="eastAsia" w:ascii="宋体"/>
          <w:lang w:val="en-US" w:eastAsia="zh-CN"/>
        </w:rPr>
        <w:t>设箱式变压器1台，箱式变压器东侧设洗车机1台</w:t>
      </w:r>
      <w:r>
        <w:rPr>
          <w:rFonts w:hint="eastAsia" w:ascii="宋体" w:hAnsi="宋体"/>
          <w:szCs w:val="28"/>
        </w:rPr>
        <w:t>；该站汽油设有卸油油气回收系统、加油油气回收系统及油气</w:t>
      </w:r>
      <w:r>
        <w:rPr>
          <w:rFonts w:hint="eastAsia" w:ascii="宋体" w:hAnsi="宋体"/>
          <w:szCs w:val="28"/>
          <w:lang w:val="en-US" w:eastAsia="zh-CN"/>
        </w:rPr>
        <w:t>回收</w:t>
      </w:r>
      <w:r>
        <w:rPr>
          <w:rFonts w:hint="eastAsia" w:ascii="宋体" w:hAnsi="宋体"/>
          <w:szCs w:val="28"/>
        </w:rPr>
        <w:t>处理装置；按《汽车加油加气加氢站技术标准》GB50156-2021标准规定：V=</w:t>
      </w:r>
      <w:r>
        <w:rPr>
          <w:rFonts w:hint="eastAsia" w:ascii="宋体" w:hAnsi="宋体"/>
          <w:szCs w:val="28"/>
          <w:lang w:val="en-US" w:eastAsia="zh-CN"/>
        </w:rPr>
        <w:t>105</w:t>
      </w:r>
      <w:r>
        <w:rPr>
          <w:rFonts w:hint="eastAsia" w:ascii="宋体" w:hAnsi="宋体"/>
          <w:szCs w:val="28"/>
        </w:rPr>
        <w:t>m</w:t>
      </w:r>
      <w:r>
        <w:rPr>
          <w:rFonts w:hint="eastAsia" w:ascii="宋体" w:hAnsi="宋体"/>
          <w:szCs w:val="28"/>
          <w:vertAlign w:val="superscript"/>
        </w:rPr>
        <w:t>3</w:t>
      </w:r>
      <w:r>
        <w:rPr>
          <w:rFonts w:hint="eastAsia" w:ascii="宋体" w:hAnsi="宋体"/>
          <w:szCs w:val="28"/>
        </w:rPr>
        <w:t>，该站属</w:t>
      </w:r>
      <w:r>
        <w:rPr>
          <w:rFonts w:hint="eastAsia" w:ascii="宋体" w:hAnsi="宋体"/>
          <w:szCs w:val="28"/>
          <w:lang w:val="en-US" w:eastAsia="zh-CN"/>
        </w:rPr>
        <w:t>二</w:t>
      </w:r>
      <w:r>
        <w:rPr>
          <w:rFonts w:hint="eastAsia" w:ascii="宋体" w:hAnsi="宋体"/>
          <w:szCs w:val="28"/>
        </w:rPr>
        <w:t>级加油站</w:t>
      </w:r>
      <w:r>
        <w:rPr>
          <w:rFonts w:hint="eastAsia" w:ascii="宋体"/>
        </w:rPr>
        <w:t>。</w:t>
      </w:r>
    </w:p>
    <w:p w14:paraId="47FC5C57">
      <w:pPr>
        <w:pStyle w:val="15"/>
        <w:widowControl w:val="0"/>
        <w:adjustRightInd w:val="0"/>
        <w:snapToGrid w:val="0"/>
        <w:spacing w:line="360" w:lineRule="auto"/>
        <w:outlineLvl w:val="9"/>
      </w:pPr>
      <w:r>
        <w:t>表</w:t>
      </w:r>
      <w:r>
        <w:rPr>
          <w:rFonts w:ascii="黑体" w:hAnsi="黑体"/>
        </w:rPr>
        <w:t xml:space="preserve">2.1-1 </w:t>
      </w:r>
      <w:r>
        <w:t>加油站的等级划分</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1789E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161A1A58">
            <w:pPr>
              <w:pStyle w:val="16"/>
              <w:widowControl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5BC98907">
            <w:pPr>
              <w:pStyle w:val="16"/>
              <w:widowControl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0A4AE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5DF3AF76">
            <w:pPr>
              <w:pStyle w:val="16"/>
              <w:widowControl w:val="0"/>
              <w:adjustRightInd w:val="0"/>
              <w:snapToGrid w:val="0"/>
              <w:spacing w:line="360" w:lineRule="auto"/>
              <w:rPr>
                <w:rFonts w:ascii="宋体" w:hAnsi="宋体"/>
                <w:b/>
                <w:bCs/>
              </w:rPr>
            </w:pPr>
          </w:p>
        </w:tc>
        <w:tc>
          <w:tcPr>
            <w:tcW w:w="1667" w:type="pct"/>
            <w:vAlign w:val="center"/>
          </w:tcPr>
          <w:p w14:paraId="24386D9E">
            <w:pPr>
              <w:pStyle w:val="16"/>
              <w:widowControl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3C0BFD1B">
            <w:pPr>
              <w:pStyle w:val="16"/>
              <w:widowControl w:val="0"/>
              <w:adjustRightInd w:val="0"/>
              <w:snapToGrid w:val="0"/>
              <w:spacing w:line="360" w:lineRule="auto"/>
              <w:rPr>
                <w:rFonts w:ascii="宋体" w:hAnsi="宋体"/>
                <w:b/>
                <w:bCs/>
              </w:rPr>
            </w:pPr>
            <w:r>
              <w:rPr>
                <w:rFonts w:ascii="宋体" w:hAnsi="宋体"/>
                <w:b/>
                <w:bCs/>
              </w:rPr>
              <w:t>单罐容积</w:t>
            </w:r>
          </w:p>
        </w:tc>
      </w:tr>
      <w:tr w14:paraId="3C047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A972F00">
            <w:pPr>
              <w:pStyle w:val="16"/>
              <w:widowControl w:val="0"/>
              <w:adjustRightInd w:val="0"/>
              <w:snapToGrid w:val="0"/>
              <w:spacing w:line="360" w:lineRule="auto"/>
              <w:rPr>
                <w:rFonts w:ascii="宋体" w:hAnsi="宋体"/>
              </w:rPr>
            </w:pPr>
            <w:r>
              <w:rPr>
                <w:rFonts w:ascii="宋体" w:hAnsi="宋体"/>
              </w:rPr>
              <w:t>一级</w:t>
            </w:r>
          </w:p>
        </w:tc>
        <w:tc>
          <w:tcPr>
            <w:tcW w:w="1667" w:type="pct"/>
            <w:vAlign w:val="center"/>
          </w:tcPr>
          <w:p w14:paraId="7D488D41">
            <w:pPr>
              <w:pStyle w:val="16"/>
              <w:widowControl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573B3873">
            <w:pPr>
              <w:pStyle w:val="16"/>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14:paraId="0679B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4016C38">
            <w:pPr>
              <w:pStyle w:val="16"/>
              <w:widowControl w:val="0"/>
              <w:adjustRightInd w:val="0"/>
              <w:snapToGrid w:val="0"/>
              <w:spacing w:line="360" w:lineRule="auto"/>
              <w:rPr>
                <w:rFonts w:ascii="宋体" w:hAnsi="宋体"/>
              </w:rPr>
            </w:pPr>
            <w:r>
              <w:rPr>
                <w:rFonts w:ascii="宋体" w:hAnsi="宋体"/>
              </w:rPr>
              <w:t>二级</w:t>
            </w:r>
          </w:p>
        </w:tc>
        <w:tc>
          <w:tcPr>
            <w:tcW w:w="1667" w:type="pct"/>
            <w:vAlign w:val="center"/>
          </w:tcPr>
          <w:p w14:paraId="6CBADF6A">
            <w:pPr>
              <w:pStyle w:val="16"/>
              <w:widowControl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701B2CE6">
            <w:pPr>
              <w:pStyle w:val="16"/>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14:paraId="3570E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0228923">
            <w:pPr>
              <w:pStyle w:val="16"/>
              <w:widowControl w:val="0"/>
              <w:adjustRightInd w:val="0"/>
              <w:snapToGrid w:val="0"/>
              <w:spacing w:line="360" w:lineRule="auto"/>
              <w:rPr>
                <w:rFonts w:ascii="宋体" w:hAnsi="宋体"/>
              </w:rPr>
            </w:pPr>
            <w:r>
              <w:rPr>
                <w:rFonts w:ascii="宋体" w:hAnsi="宋体"/>
              </w:rPr>
              <w:t>三级</w:t>
            </w:r>
          </w:p>
        </w:tc>
        <w:tc>
          <w:tcPr>
            <w:tcW w:w="1667" w:type="pct"/>
            <w:vAlign w:val="center"/>
          </w:tcPr>
          <w:p w14:paraId="26C3F804">
            <w:pPr>
              <w:pStyle w:val="16"/>
              <w:widowControl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00D29DA1">
            <w:pPr>
              <w:pStyle w:val="16"/>
              <w:widowControl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369B1AB5">
      <w:pPr>
        <w:pStyle w:val="17"/>
        <w:widowControl w:val="0"/>
        <w:adjustRightInd w:val="0"/>
        <w:snapToGrid w:val="0"/>
        <w:spacing w:line="360" w:lineRule="auto"/>
        <w:ind w:firstLine="436"/>
      </w:pPr>
      <w:r>
        <w:t>注：</w:t>
      </w:r>
      <w:r>
        <w:rPr>
          <w:rFonts w:hint="eastAsia"/>
        </w:rPr>
        <w:t>V为油罐总容积。</w:t>
      </w:r>
      <w:r>
        <w:t>柴油罐容积可折半计入油罐总容积。</w:t>
      </w:r>
    </w:p>
    <w:p w14:paraId="3121218D">
      <w:pPr>
        <w:pStyle w:val="13"/>
        <w:widowControl w:val="0"/>
        <w:adjustRightInd w:val="0"/>
        <w:snapToGrid w:val="0"/>
        <w:spacing w:line="360" w:lineRule="auto"/>
        <w:ind w:firstLine="560"/>
        <w:rPr>
          <w:rFonts w:ascii="宋体"/>
        </w:rPr>
      </w:pPr>
      <w:r>
        <w:rPr>
          <w:rFonts w:hint="eastAsia" w:ascii="宋体"/>
        </w:rPr>
        <w:t>该站现有职工</w:t>
      </w:r>
      <w:r>
        <w:rPr>
          <w:rFonts w:hint="eastAsia" w:ascii="宋体"/>
          <w:lang w:val="en-US" w:eastAsia="zh-CN"/>
        </w:rPr>
        <w:t>5</w:t>
      </w:r>
      <w:r>
        <w:rPr>
          <w:rFonts w:hint="eastAsia" w:ascii="宋体"/>
        </w:rPr>
        <w:t>人，其中主要负责人1人，安全生产管理人员1人。主要负责人和安全生产管理人员已参加了危险化学品安全管理培训，并取得考核合格证。详见附件</w:t>
      </w:r>
      <w:r>
        <w:rPr>
          <w:rFonts w:ascii="宋体"/>
        </w:rPr>
        <w:t>。</w:t>
      </w:r>
    </w:p>
    <w:p w14:paraId="7C22DD76">
      <w:pPr>
        <w:pStyle w:val="13"/>
        <w:widowControl w:val="0"/>
        <w:adjustRightInd w:val="0"/>
        <w:snapToGrid w:val="0"/>
        <w:spacing w:line="360" w:lineRule="auto"/>
        <w:ind w:firstLine="560"/>
        <w:rPr>
          <w:rFonts w:hint="default" w:ascii="宋体"/>
          <w:color w:val="000000" w:themeColor="text1"/>
          <w:lang w:val="en-US" w:eastAsia="zh-CN"/>
          <w14:textFill>
            <w14:solidFill>
              <w14:schemeClr w14:val="tx1"/>
            </w14:solidFill>
          </w14:textFill>
        </w:rPr>
      </w:pPr>
      <w:r>
        <w:rPr>
          <w:rFonts w:hint="eastAsia" w:ascii="宋体"/>
          <w:color w:val="000000" w:themeColor="text1"/>
          <w14:textFill>
            <w14:solidFill>
              <w14:schemeClr w14:val="tx1"/>
            </w14:solidFill>
          </w14:textFill>
        </w:rPr>
        <w:t>该站于20</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取得了《国有土地使用证》，编号：岱岳国用（2001）字第0154号，终止日期为2041年5月4日；2002年4月10日取得了《国有土地使用证》，编号：岱岳国用（2002）字第053号，终止日期为2042年2月5日</w:t>
      </w:r>
      <w:r>
        <w:rPr>
          <w:rFonts w:hint="eastAsia" w:ascii="宋体"/>
          <w:color w:val="000000" w:themeColor="text1"/>
          <w:lang w:eastAsia="zh-CN"/>
          <w14:textFill>
            <w14:solidFill>
              <w14:schemeClr w14:val="tx1"/>
            </w14:solidFill>
          </w14:textFill>
        </w:rPr>
        <w:t>。</w:t>
      </w:r>
      <w:r>
        <w:rPr>
          <w:rFonts w:hint="eastAsia" w:ascii="宋体"/>
          <w:color w:val="000000" w:themeColor="text1"/>
          <w14:textFill>
            <w14:solidFill>
              <w14:schemeClr w14:val="tx1"/>
            </w14:solidFill>
          </w14:textFill>
        </w:rPr>
        <w:t>详见附件。</w:t>
      </w:r>
    </w:p>
    <w:p w14:paraId="6451B769">
      <w:pPr>
        <w:pStyle w:val="13"/>
        <w:widowControl w:val="0"/>
        <w:adjustRightInd w:val="0"/>
        <w:snapToGrid w:val="0"/>
        <w:spacing w:line="360" w:lineRule="auto"/>
        <w:ind w:firstLine="560"/>
        <w:rPr>
          <w:rFonts w:ascii="宋体"/>
        </w:rPr>
      </w:pPr>
      <w:r>
        <w:rPr>
          <w:rFonts w:hint="eastAsia" w:ascii="宋体"/>
        </w:rPr>
        <w:t>200</w:t>
      </w:r>
      <w:r>
        <w:rPr>
          <w:rFonts w:hint="eastAsia" w:ascii="宋体"/>
          <w:lang w:val="en-US" w:eastAsia="zh-CN"/>
        </w:rPr>
        <w:t>1</w:t>
      </w:r>
      <w:r>
        <w:rPr>
          <w:rFonts w:hint="eastAsia" w:ascii="宋体"/>
        </w:rPr>
        <w:t>年</w:t>
      </w:r>
      <w:r>
        <w:rPr>
          <w:rFonts w:hint="eastAsia" w:ascii="宋体"/>
          <w:lang w:val="en-US" w:eastAsia="zh-CN"/>
        </w:rPr>
        <w:t>9</w:t>
      </w:r>
      <w:r>
        <w:rPr>
          <w:rFonts w:hint="eastAsia" w:ascii="宋体"/>
        </w:rPr>
        <w:t>月</w:t>
      </w:r>
      <w:r>
        <w:rPr>
          <w:rFonts w:hint="eastAsia" w:ascii="宋体"/>
          <w:lang w:val="en-US" w:eastAsia="zh-CN"/>
        </w:rPr>
        <w:t>10</w:t>
      </w:r>
      <w:r>
        <w:rPr>
          <w:rFonts w:hint="eastAsia" w:ascii="宋体"/>
        </w:rPr>
        <w:t>日</w:t>
      </w:r>
      <w:r>
        <w:rPr>
          <w:rFonts w:hint="eastAsia" w:ascii="宋体"/>
          <w:lang w:val="en-US" w:eastAsia="zh-CN"/>
        </w:rPr>
        <w:t>泰安市</w:t>
      </w:r>
      <w:r>
        <w:rPr>
          <w:rFonts w:hint="eastAsia" w:ascii="宋体"/>
        </w:rPr>
        <w:t>公安消防</w:t>
      </w:r>
      <w:r>
        <w:rPr>
          <w:rFonts w:hint="eastAsia" w:ascii="宋体"/>
          <w:lang w:val="en-US" w:eastAsia="zh-CN"/>
        </w:rPr>
        <w:t>分局</w:t>
      </w:r>
      <w:r>
        <w:rPr>
          <w:rFonts w:hint="eastAsia" w:ascii="宋体"/>
        </w:rPr>
        <w:t>出具了《</w:t>
      </w:r>
      <w:r>
        <w:rPr>
          <w:rFonts w:hint="eastAsia" w:ascii="宋体"/>
          <w:lang w:val="en-US" w:eastAsia="zh-CN"/>
        </w:rPr>
        <w:t>消防安全许可证</w:t>
      </w:r>
      <w:r>
        <w:rPr>
          <w:rFonts w:hint="eastAsia" w:ascii="宋体"/>
        </w:rPr>
        <w:t>》，编号为公消</w:t>
      </w:r>
      <w:r>
        <w:rPr>
          <w:rFonts w:hint="eastAsia" w:ascii="宋体"/>
          <w:lang w:val="en-US" w:eastAsia="zh-CN"/>
        </w:rPr>
        <w:t>监</w:t>
      </w:r>
      <w:r>
        <w:rPr>
          <w:rFonts w:hint="eastAsia" w:ascii="宋体"/>
        </w:rPr>
        <w:t>[200</w:t>
      </w:r>
      <w:r>
        <w:rPr>
          <w:rFonts w:hint="eastAsia" w:ascii="宋体"/>
          <w:lang w:val="en-US" w:eastAsia="zh-CN"/>
        </w:rPr>
        <w:t>1</w:t>
      </w:r>
      <w:r>
        <w:rPr>
          <w:rFonts w:hint="eastAsia" w:ascii="宋体"/>
        </w:rPr>
        <w:t>]</w:t>
      </w:r>
      <w:r>
        <w:rPr>
          <w:rFonts w:hint="eastAsia" w:ascii="宋体"/>
          <w:lang w:val="en-US" w:eastAsia="zh-CN"/>
        </w:rPr>
        <w:t>危经字</w:t>
      </w:r>
      <w:r>
        <w:rPr>
          <w:rFonts w:hint="eastAsia" w:ascii="宋体"/>
        </w:rPr>
        <w:t>0</w:t>
      </w:r>
      <w:r>
        <w:rPr>
          <w:rFonts w:hint="eastAsia" w:ascii="宋体"/>
          <w:lang w:val="en-US" w:eastAsia="zh-CN"/>
        </w:rPr>
        <w:t>37</w:t>
      </w:r>
      <w:r>
        <w:rPr>
          <w:rFonts w:hint="eastAsia" w:ascii="宋体"/>
        </w:rPr>
        <w:t>号。详见附件。</w:t>
      </w:r>
    </w:p>
    <w:p w14:paraId="64CC85E2">
      <w:pPr>
        <w:pStyle w:val="13"/>
        <w:widowControl w:val="0"/>
        <w:adjustRightInd w:val="0"/>
        <w:snapToGrid w:val="0"/>
        <w:spacing w:line="360" w:lineRule="auto"/>
        <w:ind w:firstLine="560"/>
        <w:rPr>
          <w:rFonts w:ascii="宋体"/>
        </w:rPr>
      </w:pPr>
      <w:r>
        <w:rPr>
          <w:rFonts w:hint="eastAsia" w:ascii="宋体"/>
        </w:rPr>
        <w:t>加油站于202</w:t>
      </w:r>
      <w:r>
        <w:rPr>
          <w:rFonts w:hint="eastAsia" w:ascii="宋体"/>
          <w:lang w:val="en-US" w:eastAsia="zh-CN"/>
        </w:rPr>
        <w:t>1</w:t>
      </w:r>
      <w:r>
        <w:rPr>
          <w:rFonts w:hint="eastAsia" w:ascii="宋体"/>
        </w:rPr>
        <w:t>年</w:t>
      </w:r>
      <w:r>
        <w:rPr>
          <w:rFonts w:hint="eastAsia" w:ascii="宋体"/>
          <w:lang w:val="en-US" w:eastAsia="zh-CN"/>
        </w:rPr>
        <w:t>12</w:t>
      </w:r>
      <w:r>
        <w:rPr>
          <w:rFonts w:hint="eastAsia" w:ascii="宋体"/>
        </w:rPr>
        <w:t>月</w:t>
      </w:r>
      <w:r>
        <w:rPr>
          <w:rFonts w:hint="eastAsia" w:ascii="宋体"/>
          <w:lang w:val="en-US" w:eastAsia="zh-CN"/>
        </w:rPr>
        <w:t>07</w:t>
      </w:r>
      <w:r>
        <w:rPr>
          <w:rFonts w:hint="eastAsia" w:ascii="宋体"/>
        </w:rPr>
        <w:t>日换发了</w:t>
      </w:r>
      <w:r>
        <w:rPr>
          <w:rFonts w:ascii="宋体"/>
        </w:rPr>
        <w:t>《成品油零售经营批准证书》，证书编号：</w:t>
      </w:r>
      <w:r>
        <w:rPr>
          <w:rFonts w:hint="eastAsia" w:ascii="宋体"/>
        </w:rPr>
        <w:t>鲁油零售证书第37090</w:t>
      </w:r>
      <w:r>
        <w:rPr>
          <w:rFonts w:hint="eastAsia" w:ascii="宋体"/>
          <w:lang w:val="en-US" w:eastAsia="zh-CN"/>
        </w:rPr>
        <w:t>11001</w:t>
      </w:r>
      <w:r>
        <w:rPr>
          <w:rFonts w:hint="eastAsia" w:ascii="宋体"/>
        </w:rPr>
        <w:t>号，证书有效期至202</w:t>
      </w:r>
      <w:r>
        <w:rPr>
          <w:rFonts w:hint="eastAsia" w:ascii="宋体"/>
          <w:lang w:val="en-US" w:eastAsia="zh-CN"/>
        </w:rPr>
        <w:t>6</w:t>
      </w:r>
      <w:r>
        <w:rPr>
          <w:rFonts w:hint="eastAsia" w:ascii="宋体"/>
        </w:rPr>
        <w:t>年</w:t>
      </w:r>
      <w:r>
        <w:rPr>
          <w:rFonts w:hint="eastAsia" w:ascii="宋体"/>
          <w:lang w:val="en-US" w:eastAsia="zh-CN"/>
        </w:rPr>
        <w:t>12</w:t>
      </w:r>
      <w:r>
        <w:rPr>
          <w:rFonts w:hint="eastAsia" w:ascii="宋体"/>
        </w:rPr>
        <w:t>月</w:t>
      </w:r>
      <w:r>
        <w:rPr>
          <w:rFonts w:hint="eastAsia" w:ascii="宋体"/>
          <w:lang w:val="en-US" w:eastAsia="zh-CN"/>
        </w:rPr>
        <w:t>07</w:t>
      </w:r>
      <w:r>
        <w:rPr>
          <w:rFonts w:hint="eastAsia" w:ascii="宋体"/>
        </w:rPr>
        <w:t>日，证书见附件</w:t>
      </w:r>
      <w:r>
        <w:rPr>
          <w:rFonts w:ascii="宋体"/>
        </w:rPr>
        <w:t>。</w:t>
      </w:r>
    </w:p>
    <w:p w14:paraId="518EA9F9">
      <w:pPr>
        <w:pStyle w:val="13"/>
        <w:widowControl w:val="0"/>
        <w:adjustRightInd w:val="0"/>
        <w:snapToGrid w:val="0"/>
        <w:spacing w:line="360" w:lineRule="auto"/>
        <w:ind w:firstLine="560"/>
        <w:rPr>
          <w:rFonts w:ascii="宋体"/>
        </w:rPr>
      </w:pPr>
      <w:r>
        <w:rPr>
          <w:rFonts w:hint="eastAsia" w:ascii="宋体"/>
        </w:rPr>
        <w:t>加油站于202</w:t>
      </w:r>
      <w:r>
        <w:rPr>
          <w:rFonts w:hint="eastAsia" w:ascii="宋体"/>
          <w:lang w:val="en-US" w:eastAsia="zh-CN"/>
        </w:rPr>
        <w:t>2</w:t>
      </w:r>
      <w:r>
        <w:rPr>
          <w:rFonts w:hint="eastAsia" w:ascii="宋体"/>
        </w:rPr>
        <w:t>年</w:t>
      </w:r>
      <w:r>
        <w:rPr>
          <w:rFonts w:hint="eastAsia" w:ascii="宋体"/>
          <w:lang w:val="en-US" w:eastAsia="zh-CN"/>
        </w:rPr>
        <w:t>1</w:t>
      </w:r>
      <w:r>
        <w:rPr>
          <w:rFonts w:hint="eastAsia" w:ascii="宋体"/>
        </w:rPr>
        <w:t>月</w:t>
      </w:r>
      <w:r>
        <w:rPr>
          <w:rFonts w:hint="eastAsia" w:ascii="宋体"/>
          <w:lang w:val="en-US" w:eastAsia="zh-CN"/>
        </w:rPr>
        <w:t>19</w:t>
      </w:r>
      <w:r>
        <w:rPr>
          <w:rFonts w:hint="eastAsia" w:ascii="宋体"/>
        </w:rPr>
        <w:t>日换发了《危险化学品经营许可证》，证书编号：鲁泰危化经[20</w:t>
      </w:r>
      <w:r>
        <w:rPr>
          <w:rFonts w:hint="eastAsia" w:ascii="宋体"/>
          <w:lang w:val="en-US" w:eastAsia="zh-CN"/>
        </w:rPr>
        <w:t>22</w:t>
      </w:r>
      <w:r>
        <w:rPr>
          <w:rFonts w:hint="eastAsia" w:ascii="宋体"/>
        </w:rPr>
        <w:t>]000</w:t>
      </w:r>
      <w:r>
        <w:rPr>
          <w:rFonts w:hint="eastAsia" w:ascii="宋体"/>
          <w:lang w:val="en-US" w:eastAsia="zh-CN"/>
        </w:rPr>
        <w:t>101号</w:t>
      </w:r>
      <w:r>
        <w:rPr>
          <w:rFonts w:hint="eastAsia" w:ascii="宋体"/>
        </w:rPr>
        <w:t>，证书有效期至202</w:t>
      </w:r>
      <w:r>
        <w:rPr>
          <w:rFonts w:hint="eastAsia" w:ascii="宋体"/>
          <w:lang w:val="en-US" w:eastAsia="zh-CN"/>
        </w:rPr>
        <w:t>5</w:t>
      </w:r>
      <w:r>
        <w:rPr>
          <w:rFonts w:hint="eastAsia" w:ascii="宋体"/>
        </w:rPr>
        <w:t>年</w:t>
      </w:r>
      <w:r>
        <w:rPr>
          <w:rFonts w:hint="eastAsia" w:ascii="宋体"/>
          <w:lang w:val="en-US" w:eastAsia="zh-CN"/>
        </w:rPr>
        <w:t>1</w:t>
      </w:r>
      <w:r>
        <w:rPr>
          <w:rFonts w:hint="eastAsia" w:ascii="宋体"/>
        </w:rPr>
        <w:t>月</w:t>
      </w:r>
      <w:r>
        <w:rPr>
          <w:rFonts w:hint="eastAsia" w:ascii="宋体"/>
          <w:lang w:val="en-US" w:eastAsia="zh-CN"/>
        </w:rPr>
        <w:t>29</w:t>
      </w:r>
      <w:r>
        <w:rPr>
          <w:rFonts w:hint="eastAsia" w:ascii="宋体"/>
        </w:rPr>
        <w:t>日，证书见附件。</w:t>
      </w:r>
    </w:p>
    <w:p w14:paraId="19E2BD3F">
      <w:pPr>
        <w:pStyle w:val="13"/>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该站编制了生产安全事故应急预案，于202</w:t>
      </w:r>
      <w:r>
        <w:rPr>
          <w:rFonts w:hint="eastAsia" w:ascii="宋体"/>
          <w:color w:val="000000" w:themeColor="text1"/>
          <w:lang w:val="en-US" w:eastAsia="zh-CN"/>
          <w14:textFill>
            <w14:solidFill>
              <w14:schemeClr w14:val="tx1"/>
            </w14:solidFill>
          </w14:textFill>
        </w:rPr>
        <w:t>4</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22</w:t>
      </w:r>
      <w:r>
        <w:rPr>
          <w:rFonts w:hint="eastAsia" w:ascii="宋体"/>
          <w:color w:val="000000" w:themeColor="text1"/>
          <w14:textFill>
            <w14:solidFill>
              <w14:schemeClr w14:val="tx1"/>
            </w14:solidFill>
          </w14:textFill>
        </w:rPr>
        <w:t>日在泰安市应急管理局进行了备案，备案编号为：370900-202</w:t>
      </w:r>
      <w:r>
        <w:rPr>
          <w:rFonts w:hint="eastAsia" w:ascii="宋体"/>
          <w:color w:val="000000" w:themeColor="text1"/>
          <w:lang w:val="en-US" w:eastAsia="zh-CN"/>
          <w14:textFill>
            <w14:solidFill>
              <w14:schemeClr w14:val="tx1"/>
            </w14:solidFill>
          </w14:textFill>
        </w:rPr>
        <w:t>4</w:t>
      </w:r>
      <w:r>
        <w:rPr>
          <w:rFonts w:hint="eastAsia" w:ascii="宋体"/>
          <w:color w:val="000000" w:themeColor="text1"/>
          <w14:textFill>
            <w14:solidFill>
              <w14:schemeClr w14:val="tx1"/>
            </w14:solidFill>
          </w14:textFill>
        </w:rPr>
        <w:t>-0</w:t>
      </w:r>
      <w:r>
        <w:rPr>
          <w:rFonts w:hint="eastAsia" w:ascii="宋体"/>
          <w:color w:val="000000" w:themeColor="text1"/>
          <w:lang w:val="en-US" w:eastAsia="zh-CN"/>
          <w14:textFill>
            <w14:solidFill>
              <w14:schemeClr w14:val="tx1"/>
            </w14:solidFill>
          </w14:textFill>
        </w:rPr>
        <w:t>103</w:t>
      </w:r>
      <w:r>
        <w:rPr>
          <w:rFonts w:hint="eastAsia" w:ascii="宋体"/>
          <w:color w:val="000000" w:themeColor="text1"/>
          <w14:textFill>
            <w14:solidFill>
              <w14:schemeClr w14:val="tx1"/>
            </w14:solidFill>
          </w14:textFill>
        </w:rPr>
        <w:t>。详见附件。</w:t>
      </w:r>
    </w:p>
    <w:p w14:paraId="743D88E7">
      <w:pPr>
        <w:pStyle w:val="13"/>
        <w:widowControl w:val="0"/>
        <w:wordWrap w:val="0"/>
        <w:topLinePunct/>
        <w:adjustRightInd w:val="0"/>
        <w:snapToGrid w:val="0"/>
        <w:spacing w:line="360" w:lineRule="auto"/>
        <w:ind w:firstLine="560"/>
        <w:rPr>
          <w:rFonts w:ascii="宋体"/>
          <w:color w:val="0000FF"/>
        </w:rPr>
      </w:pPr>
      <w:r>
        <w:rPr>
          <w:rFonts w:hint="eastAsia" w:ascii="宋体"/>
          <w:color w:val="000000" w:themeColor="text1"/>
          <w:lang w:val="en-US" w:eastAsia="zh-CN"/>
          <w14:textFill>
            <w14:solidFill>
              <w14:schemeClr w14:val="tx1"/>
            </w14:solidFill>
          </w14:textFill>
        </w:rPr>
        <w:t>2024年10月10日，</w:t>
      </w:r>
      <w:r>
        <w:rPr>
          <w:rFonts w:hint="eastAsia" w:ascii="宋体"/>
          <w:color w:val="000000" w:themeColor="text1"/>
          <w14:textFill>
            <w14:solidFill>
              <w14:schemeClr w14:val="tx1"/>
            </w14:solidFill>
          </w14:textFill>
        </w:rPr>
        <w:t>山东天科防雷工程有限公司对该站进行了相关防雷设施的检测，出具了合格的《雷电防护装置定期检测报告》，报告编号：(1122016001)[2024]TA-0</w:t>
      </w:r>
      <w:r>
        <w:rPr>
          <w:rFonts w:hint="eastAsia" w:ascii="宋体"/>
          <w:color w:val="000000" w:themeColor="text1"/>
          <w:lang w:val="en-US" w:eastAsia="zh-CN"/>
          <w14:textFill>
            <w14:solidFill>
              <w14:schemeClr w14:val="tx1"/>
            </w14:solidFill>
          </w14:textFill>
        </w:rPr>
        <w:t>374</w:t>
      </w:r>
      <w:r>
        <w:rPr>
          <w:rFonts w:hint="eastAsia" w:ascii="宋体"/>
          <w:color w:val="000000" w:themeColor="text1"/>
          <w14:textFill>
            <w14:solidFill>
              <w14:schemeClr w14:val="tx1"/>
            </w14:solidFill>
          </w14:textFill>
        </w:rPr>
        <w:t>，结论为“合格</w:t>
      </w:r>
      <w:r>
        <w:rPr>
          <w:rFonts w:hint="eastAsia" w:ascii="宋体"/>
          <w:color w:val="000000" w:themeColor="text1"/>
          <w:lang w:eastAsia="zh-CN"/>
          <w14:textFill>
            <w14:solidFill>
              <w14:schemeClr w14:val="tx1"/>
            </w14:solidFill>
          </w14:textFill>
        </w:rPr>
        <w:t>：</w:t>
      </w:r>
      <w:r>
        <w:rPr>
          <w:rFonts w:hint="eastAsia" w:ascii="宋体"/>
          <w:color w:val="000000" w:themeColor="text1"/>
          <w14:textFill>
            <w14:solidFill>
              <w14:schemeClr w14:val="tx1"/>
            </w14:solidFill>
          </w14:textFill>
        </w:rPr>
        <w:t>加油站雷电防护装置符合现行国家防雷规范标准要求”，</w:t>
      </w:r>
      <w:r>
        <w:rPr>
          <w:rFonts w:hint="eastAsia" w:ascii="宋体"/>
          <w:color w:val="000000" w:themeColor="text1"/>
          <w:lang w:val="en-US" w:eastAsia="zh-CN"/>
          <w14:textFill>
            <w14:solidFill>
              <w14:schemeClr w14:val="tx1"/>
            </w14:solidFill>
          </w14:textFill>
        </w:rPr>
        <w:t>报告有效期截至</w:t>
      </w: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年0</w:t>
      </w:r>
      <w:r>
        <w:rPr>
          <w:rFonts w:hint="eastAsia" w:ascii="宋体"/>
          <w:color w:val="000000" w:themeColor="text1"/>
          <w:lang w:val="en-US" w:eastAsia="zh-CN"/>
          <w14:textFill>
            <w14:solidFill>
              <w14:schemeClr w14:val="tx1"/>
            </w14:solidFill>
          </w14:textFill>
        </w:rPr>
        <w:t>4</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14</w:t>
      </w:r>
      <w:r>
        <w:rPr>
          <w:rFonts w:hint="eastAsia" w:ascii="宋体"/>
          <w:color w:val="000000" w:themeColor="text1"/>
          <w14:textFill>
            <w14:solidFill>
              <w14:schemeClr w14:val="tx1"/>
            </w14:solidFill>
          </w14:textFill>
        </w:rPr>
        <w:t>日，检测报告见附件。</w:t>
      </w:r>
    </w:p>
    <w:p w14:paraId="0F5B9527">
      <w:pPr>
        <w:pStyle w:val="13"/>
        <w:widowControl w:val="0"/>
        <w:adjustRightInd w:val="0"/>
        <w:snapToGrid w:val="0"/>
        <w:spacing w:line="360" w:lineRule="auto"/>
        <w:ind w:firstLine="560"/>
        <w:rPr>
          <w:rFonts w:hint="eastAsia" w:ascii="宋体"/>
        </w:rPr>
      </w:pPr>
      <w:r>
        <w:rPr>
          <w:rFonts w:hint="eastAsia" w:ascii="宋体"/>
        </w:rPr>
        <w:t>该站在中国太平洋财产保险股份有限公司投保</w:t>
      </w:r>
      <w:r>
        <w:rPr>
          <w:rFonts w:hint="eastAsia" w:ascii="宋体"/>
          <w:lang w:val="en-US" w:eastAsia="zh-CN"/>
        </w:rPr>
        <w:t>了</w:t>
      </w:r>
      <w:r>
        <w:rPr>
          <w:rFonts w:hint="eastAsia" w:ascii="宋体"/>
        </w:rPr>
        <w:t>安全生产责任保险，保险期限</w:t>
      </w:r>
      <w:r>
        <w:rPr>
          <w:rFonts w:hint="eastAsia" w:ascii="宋体"/>
          <w:lang w:val="en-US" w:eastAsia="zh-CN"/>
        </w:rPr>
        <w:t>为</w:t>
      </w:r>
      <w:r>
        <w:rPr>
          <w:rFonts w:hint="eastAsia" w:ascii="宋体"/>
        </w:rPr>
        <w:t>2024年1月29日至2025年1月28日，详见附件。</w:t>
      </w:r>
    </w:p>
    <w:p w14:paraId="21FD3325">
      <w:pPr>
        <w:pStyle w:val="13"/>
        <w:widowControl w:val="0"/>
        <w:adjustRightInd w:val="0"/>
        <w:snapToGrid w:val="0"/>
        <w:spacing w:line="360" w:lineRule="auto"/>
        <w:ind w:firstLine="560"/>
        <w:rPr>
          <w:rFonts w:hint="eastAsia" w:ascii="宋体" w:eastAsia="宋体"/>
          <w:color w:val="000000" w:themeColor="text1"/>
          <w:lang w:eastAsia="zh-CN"/>
          <w14:textFill>
            <w14:solidFill>
              <w14:schemeClr w14:val="tx1"/>
            </w14:solidFill>
          </w14:textFill>
        </w:rPr>
      </w:pPr>
      <w:r>
        <w:rPr>
          <w:rFonts w:hint="eastAsia" w:ascii="宋体"/>
          <w:color w:val="000000" w:themeColor="text1"/>
          <w14:textFill>
            <w14:solidFill>
              <w14:schemeClr w14:val="tx1"/>
            </w14:solidFill>
          </w14:textFill>
        </w:rPr>
        <w:t>2024年0</w:t>
      </w:r>
      <w:r>
        <w:rPr>
          <w:rFonts w:hint="eastAsia" w:ascii="宋体"/>
          <w:color w:val="000000" w:themeColor="text1"/>
          <w:lang w:val="en-US" w:eastAsia="zh-CN"/>
          <w14:textFill>
            <w14:solidFill>
              <w14:schemeClr w14:val="tx1"/>
            </w14:solidFill>
          </w14:textFill>
        </w:rPr>
        <w:t>6</w:t>
      </w:r>
      <w:r>
        <w:rPr>
          <w:rFonts w:hint="eastAsia" w:ascii="宋体"/>
          <w:color w:val="000000" w:themeColor="text1"/>
          <w14:textFill>
            <w14:solidFill>
              <w14:schemeClr w14:val="tx1"/>
            </w14:solidFill>
          </w14:textFill>
        </w:rPr>
        <w:t>月2</w:t>
      </w:r>
      <w:r>
        <w:rPr>
          <w:rFonts w:hint="eastAsia" w:ascii="宋体"/>
          <w:color w:val="000000" w:themeColor="text1"/>
          <w:lang w:val="en-US" w:eastAsia="zh-CN"/>
          <w14:textFill>
            <w14:solidFill>
              <w14:schemeClr w14:val="tx1"/>
            </w14:solidFill>
          </w14:textFill>
        </w:rPr>
        <w:t>8</w:t>
      </w:r>
      <w:r>
        <w:rPr>
          <w:rFonts w:hint="eastAsia" w:ascii="宋体"/>
          <w:color w:val="000000" w:themeColor="text1"/>
          <w14:textFill>
            <w14:solidFill>
              <w14:schemeClr w14:val="tx1"/>
            </w14:solidFill>
          </w14:textFill>
        </w:rPr>
        <w:t>日，济南本安科技发展有限公司对该站可燃气体探测进行了检测，出具了合格的检测报告，报告编号：</w:t>
      </w:r>
      <w:r>
        <w:rPr>
          <w:rFonts w:hint="eastAsia" w:ascii="宋体"/>
          <w:color w:val="000000" w:themeColor="text1"/>
          <w:lang w:val="en-US" w:eastAsia="zh-CN"/>
          <w14:textFill>
            <w14:solidFill>
              <w14:schemeClr w14:val="tx1"/>
            </w14:solidFill>
          </w14:textFill>
        </w:rPr>
        <w:t>2406282214</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2406282216</w:t>
      </w:r>
      <w:r>
        <w:rPr>
          <w:rFonts w:hint="eastAsia" w:ascii="宋体"/>
          <w:color w:val="000000" w:themeColor="text1"/>
          <w14:textFill>
            <w14:solidFill>
              <w14:schemeClr w14:val="tx1"/>
            </w14:solidFill>
          </w14:textFill>
        </w:rPr>
        <w:t>，结论为“维护后检验合格”，有效期至2025年0</w:t>
      </w:r>
      <w:r>
        <w:rPr>
          <w:rFonts w:hint="eastAsia" w:ascii="宋体"/>
          <w:color w:val="000000" w:themeColor="text1"/>
          <w:lang w:val="en-US" w:eastAsia="zh-CN"/>
          <w14:textFill>
            <w14:solidFill>
              <w14:schemeClr w14:val="tx1"/>
            </w14:solidFill>
          </w14:textFill>
        </w:rPr>
        <w:t>6</w:t>
      </w:r>
      <w:r>
        <w:rPr>
          <w:rFonts w:hint="eastAsia" w:ascii="宋体"/>
          <w:color w:val="000000" w:themeColor="text1"/>
          <w14:textFill>
            <w14:solidFill>
              <w14:schemeClr w14:val="tx1"/>
            </w14:solidFill>
          </w14:textFill>
        </w:rPr>
        <w:t>月2</w:t>
      </w:r>
      <w:r>
        <w:rPr>
          <w:rFonts w:hint="eastAsia" w:ascii="宋体"/>
          <w:color w:val="000000" w:themeColor="text1"/>
          <w:lang w:val="en-US" w:eastAsia="zh-CN"/>
          <w14:textFill>
            <w14:solidFill>
              <w14:schemeClr w14:val="tx1"/>
            </w14:solidFill>
          </w14:textFill>
        </w:rPr>
        <w:t>7</w:t>
      </w:r>
      <w:r>
        <w:rPr>
          <w:rFonts w:hint="eastAsia" w:ascii="宋体"/>
          <w:color w:val="000000" w:themeColor="text1"/>
          <w14:textFill>
            <w14:solidFill>
              <w14:schemeClr w14:val="tx1"/>
            </w14:solidFill>
          </w14:textFill>
        </w:rPr>
        <w:t>日，检测报告见附件</w:t>
      </w:r>
      <w:r>
        <w:rPr>
          <w:rFonts w:hint="eastAsia" w:ascii="宋体"/>
          <w:color w:val="000000" w:themeColor="text1"/>
          <w:lang w:eastAsia="zh-CN"/>
          <w14:textFill>
            <w14:solidFill>
              <w14:schemeClr w14:val="tx1"/>
            </w14:solidFill>
          </w14:textFill>
        </w:rPr>
        <w:t>。</w:t>
      </w:r>
    </w:p>
    <w:p w14:paraId="1E559E64">
      <w:pPr>
        <w:pStyle w:val="13"/>
        <w:widowControl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407898CE">
      <w:pPr>
        <w:pStyle w:val="13"/>
        <w:widowControl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w:t>
      </w:r>
      <w:r>
        <w:rPr>
          <w:rFonts w:hint="eastAsia" w:ascii="宋体"/>
          <w:color w:val="000000" w:themeColor="text1"/>
          <w14:textFill>
            <w14:solidFill>
              <w14:schemeClr w14:val="tx1"/>
            </w14:solidFill>
          </w14:textFill>
        </w:rPr>
        <w:t>全，加油站配备了35kg推车式干粉灭火器</w:t>
      </w:r>
      <w:r>
        <w:rPr>
          <w:rFonts w:hint="eastAsia" w:ascii="宋体"/>
          <w:color w:val="000000" w:themeColor="text1"/>
          <w:lang w:val="en-US" w:eastAsia="zh-CN"/>
          <w14:textFill>
            <w14:solidFill>
              <w14:schemeClr w14:val="tx1"/>
            </w14:solidFill>
          </w14:textFill>
        </w:rPr>
        <w:t>1</w:t>
      </w:r>
      <w:r>
        <w:rPr>
          <w:rFonts w:hint="eastAsia" w:ascii="宋体"/>
          <w:color w:val="000000" w:themeColor="text1"/>
          <w14:textFill>
            <w14:solidFill>
              <w14:schemeClr w14:val="tx1"/>
            </w14:solidFill>
          </w14:textFill>
        </w:rPr>
        <w:t>具，</w:t>
      </w:r>
      <w:r>
        <w:rPr>
          <w:rFonts w:hint="eastAsia" w:ascii="宋体"/>
          <w:color w:val="000000" w:themeColor="text1"/>
          <w:lang w:val="en-US" w:eastAsia="zh-CN"/>
          <w14:textFill>
            <w14:solidFill>
              <w14:schemeClr w14:val="tx1"/>
            </w14:solidFill>
          </w14:textFill>
        </w:rPr>
        <w:t>5kg</w:t>
      </w:r>
      <w:r>
        <w:rPr>
          <w:rFonts w:hint="eastAsia" w:ascii="宋体"/>
          <w:color w:val="000000" w:themeColor="text1"/>
          <w14:textFill>
            <w14:solidFill>
              <w14:schemeClr w14:val="tx1"/>
            </w14:solidFill>
          </w14:textFill>
        </w:rPr>
        <w:t>手提式干粉灭火器</w:t>
      </w:r>
      <w:r>
        <w:rPr>
          <w:rFonts w:hint="eastAsia" w:ascii="宋体"/>
          <w:color w:val="000000" w:themeColor="text1"/>
          <w:lang w:val="en-US" w:eastAsia="zh-CN"/>
          <w14:textFill>
            <w14:solidFill>
              <w14:schemeClr w14:val="tx1"/>
            </w14:solidFill>
          </w14:textFill>
        </w:rPr>
        <w:t>8</w:t>
      </w:r>
      <w:r>
        <w:rPr>
          <w:rFonts w:hint="eastAsia" w:ascii="宋体"/>
          <w:color w:val="000000" w:themeColor="text1"/>
          <w14:textFill>
            <w14:solidFill>
              <w14:schemeClr w14:val="tx1"/>
            </w14:solidFill>
          </w14:textFill>
        </w:rPr>
        <w:t>具，</w:t>
      </w:r>
      <w:r>
        <w:rPr>
          <w:rFonts w:hint="eastAsia" w:ascii="宋体"/>
          <w:color w:val="000000" w:themeColor="text1"/>
          <w:lang w:val="en-US" w:eastAsia="zh-CN"/>
          <w14:textFill>
            <w14:solidFill>
              <w14:schemeClr w14:val="tx1"/>
            </w14:solidFill>
          </w14:textFill>
        </w:rPr>
        <w:t>4kg</w:t>
      </w:r>
      <w:r>
        <w:rPr>
          <w:rFonts w:hint="eastAsia" w:ascii="宋体"/>
          <w:color w:val="000000" w:themeColor="text1"/>
          <w14:textFill>
            <w14:solidFill>
              <w14:schemeClr w14:val="tx1"/>
            </w14:solidFill>
          </w14:textFill>
        </w:rPr>
        <w:t>手提式干粉灭火器</w:t>
      </w:r>
      <w:r>
        <w:rPr>
          <w:rFonts w:hint="eastAsia" w:ascii="宋体"/>
          <w:color w:val="000000" w:themeColor="text1"/>
          <w:lang w:val="en-US" w:eastAsia="zh-CN"/>
          <w14:textFill>
            <w14:solidFill>
              <w14:schemeClr w14:val="tx1"/>
            </w14:solidFill>
          </w14:textFill>
        </w:rPr>
        <w:t>6</w:t>
      </w:r>
      <w:r>
        <w:rPr>
          <w:rFonts w:hint="eastAsia" w:ascii="宋体"/>
          <w:color w:val="000000" w:themeColor="text1"/>
          <w14:textFill>
            <w14:solidFill>
              <w14:schemeClr w14:val="tx1"/>
            </w14:solidFill>
          </w14:textFill>
        </w:rPr>
        <w:t>具，CO</w:t>
      </w:r>
      <w:r>
        <w:rPr>
          <w:rFonts w:hint="eastAsia" w:ascii="宋体"/>
          <w:color w:val="000000" w:themeColor="text1"/>
          <w:vertAlign w:val="subscript"/>
          <w14:textFill>
            <w14:solidFill>
              <w14:schemeClr w14:val="tx1"/>
            </w14:solidFill>
          </w14:textFill>
        </w:rPr>
        <w:t>2</w:t>
      </w:r>
      <w:r>
        <w:rPr>
          <w:rFonts w:hint="eastAsia" w:ascii="宋体"/>
          <w:color w:val="000000" w:themeColor="text1"/>
          <w14:textFill>
            <w14:solidFill>
              <w14:schemeClr w14:val="tx1"/>
            </w14:solidFill>
          </w14:textFill>
        </w:rPr>
        <w:t>灭火器</w:t>
      </w:r>
      <w:r>
        <w:rPr>
          <w:rFonts w:hint="eastAsia" w:ascii="宋体"/>
          <w:color w:val="000000" w:themeColor="text1"/>
          <w:lang w:val="en-US" w:eastAsia="zh-CN"/>
          <w14:textFill>
            <w14:solidFill>
              <w14:schemeClr w14:val="tx1"/>
            </w14:solidFill>
          </w14:textFill>
        </w:rPr>
        <w:t>4</w:t>
      </w:r>
      <w:r>
        <w:rPr>
          <w:rFonts w:hint="eastAsia" w:ascii="宋体"/>
          <w:color w:val="000000" w:themeColor="text1"/>
          <w14:textFill>
            <w14:solidFill>
              <w14:schemeClr w14:val="tx1"/>
            </w14:solidFill>
          </w14:textFill>
        </w:rPr>
        <w:t>具，灭火毯</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块，消防锨4把，消防桶</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个，消防沙池2m</w:t>
      </w:r>
      <w:r>
        <w:rPr>
          <w:rFonts w:hint="eastAsia" w:ascii="宋体"/>
          <w:color w:val="000000" w:themeColor="text1"/>
          <w:vertAlign w:val="superscript"/>
          <w14:textFill>
            <w14:solidFill>
              <w14:schemeClr w14:val="tx1"/>
            </w14:solidFill>
          </w14:textFill>
        </w:rPr>
        <w:t>3</w:t>
      </w:r>
      <w:r>
        <w:rPr>
          <w:rFonts w:hint="eastAsia" w:ascii="宋体"/>
          <w:color w:val="000000" w:themeColor="text1"/>
          <w14:textFill>
            <w14:solidFill>
              <w14:schemeClr w14:val="tx1"/>
            </w14:solidFill>
          </w14:textFill>
        </w:rPr>
        <w:t>。</w:t>
      </w:r>
    </w:p>
    <w:p w14:paraId="31CF3BA2">
      <w:pPr>
        <w:pStyle w:val="13"/>
        <w:widowControl w:val="0"/>
        <w:adjustRightInd w:val="0"/>
        <w:snapToGrid w:val="0"/>
        <w:spacing w:line="360" w:lineRule="auto"/>
        <w:ind w:firstLine="560"/>
        <w:rPr>
          <w:rFonts w:ascii="宋体"/>
          <w:color w:val="auto"/>
        </w:rPr>
      </w:pPr>
      <w:r>
        <w:rPr>
          <w:rFonts w:hint="eastAsia" w:ascii="宋体"/>
        </w:rPr>
        <w:t>该加油站按功能分区布置，有油罐区、加油区、办公区，布置较合理</w:t>
      </w:r>
      <w:r>
        <w:rPr>
          <w:rFonts w:hint="eastAsia" w:ascii="宋体"/>
          <w:color w:val="auto"/>
        </w:rPr>
        <w:t>。</w:t>
      </w:r>
    </w:p>
    <w:p w14:paraId="51A025E5">
      <w:pPr>
        <w:pStyle w:val="14"/>
        <w:widowControl w:val="0"/>
        <w:adjustRightInd w:val="0"/>
        <w:snapToGrid w:val="0"/>
        <w:spacing w:before="0" w:beforeLines="0" w:after="0" w:afterLines="0" w:line="360" w:lineRule="auto"/>
        <w:rPr>
          <w:highlight w:val="none"/>
        </w:rPr>
      </w:pPr>
      <w:bookmarkStart w:id="14" w:name="_Toc102634406"/>
      <w:bookmarkStart w:id="15" w:name="_Toc102633906"/>
      <w:bookmarkStart w:id="16" w:name="_Toc102633980"/>
      <w:bookmarkStart w:id="17" w:name="_Toc102634255"/>
      <w:r>
        <w:rPr>
          <w:highlight w:val="none"/>
        </w:rPr>
        <w:t>第四章 评价单元划分与评价方法选择</w:t>
      </w:r>
      <w:bookmarkEnd w:id="14"/>
      <w:bookmarkEnd w:id="15"/>
      <w:bookmarkEnd w:id="16"/>
      <w:bookmarkEnd w:id="17"/>
    </w:p>
    <w:p w14:paraId="49CDC230">
      <w:pPr>
        <w:snapToGrid w:val="0"/>
        <w:spacing w:line="360" w:lineRule="auto"/>
        <w:jc w:val="center"/>
        <w:outlineLvl w:val="1"/>
        <w:rPr>
          <w:rFonts w:ascii="Calibri" w:hAnsi="Calibri" w:eastAsia="楷体_GB2312"/>
          <w:b/>
          <w:kern w:val="0"/>
          <w:sz w:val="32"/>
          <w:szCs w:val="20"/>
          <w:highlight w:val="none"/>
        </w:rPr>
      </w:pPr>
      <w:bookmarkStart w:id="18" w:name="_Toc102633981"/>
      <w:bookmarkStart w:id="19" w:name="_Toc102634407"/>
      <w:bookmarkStart w:id="20" w:name="_Toc198026273"/>
      <w:bookmarkStart w:id="21" w:name="_Toc192907201"/>
      <w:bookmarkStart w:id="22" w:name="_Toc23543"/>
      <w:bookmarkStart w:id="23" w:name="_Toc102634256"/>
      <w:bookmarkStart w:id="24" w:name="_Toc7829"/>
      <w:bookmarkStart w:id="25" w:name="_Toc238007574"/>
      <w:bookmarkStart w:id="26" w:name="_Toc15033754"/>
      <w:bookmarkStart w:id="27" w:name="_Toc272364536"/>
      <w:bookmarkStart w:id="28" w:name="_Toc102633907"/>
      <w:r>
        <w:rPr>
          <w:rFonts w:ascii="Calibri" w:hAnsi="Calibri" w:eastAsia="楷体_GB2312"/>
          <w:b/>
          <w:kern w:val="0"/>
          <w:sz w:val="32"/>
          <w:szCs w:val="20"/>
          <w:highlight w:val="none"/>
        </w:rPr>
        <w:t>第一节 评价单元的划分</w:t>
      </w:r>
      <w:bookmarkEnd w:id="18"/>
      <w:bookmarkEnd w:id="19"/>
      <w:bookmarkEnd w:id="20"/>
      <w:bookmarkEnd w:id="21"/>
      <w:bookmarkEnd w:id="22"/>
      <w:bookmarkEnd w:id="23"/>
      <w:bookmarkEnd w:id="24"/>
      <w:bookmarkEnd w:id="25"/>
      <w:bookmarkEnd w:id="26"/>
      <w:bookmarkEnd w:id="27"/>
      <w:bookmarkEnd w:id="28"/>
    </w:p>
    <w:p w14:paraId="56D473D0">
      <w:pPr>
        <w:pStyle w:val="13"/>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471C5349">
      <w:pPr>
        <w:pStyle w:val="18"/>
        <w:widowControl w:val="0"/>
        <w:adjustRightInd w:val="0"/>
        <w:snapToGrid w:val="0"/>
        <w:spacing w:line="360" w:lineRule="auto"/>
        <w:ind w:firstLine="560"/>
        <w:jc w:val="both"/>
      </w:pPr>
      <w:bookmarkStart w:id="29" w:name="_Toc102634257"/>
      <w:r>
        <w:rPr>
          <w:rFonts w:hint="eastAsia"/>
        </w:rPr>
        <w:t>一</w:t>
      </w:r>
      <w:r>
        <w:t>、以危险有害因素的类别为主划分评价单元</w:t>
      </w:r>
      <w:bookmarkEnd w:id="29"/>
    </w:p>
    <w:p w14:paraId="737AE598">
      <w:pPr>
        <w:pStyle w:val="13"/>
        <w:widowControl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1FE9FAB7">
      <w:pPr>
        <w:pStyle w:val="13"/>
        <w:widowControl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5CC772F8">
      <w:pPr>
        <w:pStyle w:val="18"/>
        <w:widowControl w:val="0"/>
        <w:adjustRightInd w:val="0"/>
        <w:snapToGrid w:val="0"/>
        <w:spacing w:line="360" w:lineRule="auto"/>
        <w:ind w:firstLine="560"/>
        <w:jc w:val="both"/>
      </w:pPr>
      <w:bookmarkStart w:id="30" w:name="_Toc102634258"/>
      <w:r>
        <w:rPr>
          <w:rFonts w:hint="eastAsia"/>
        </w:rPr>
        <w:t>二</w:t>
      </w:r>
      <w:r>
        <w:t>、以物质特征划分评价单元</w:t>
      </w:r>
      <w:bookmarkEnd w:id="30"/>
    </w:p>
    <w:p w14:paraId="62259F5D">
      <w:pPr>
        <w:pStyle w:val="13"/>
        <w:widowControl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3B5DFD85">
      <w:pPr>
        <w:pStyle w:val="13"/>
        <w:widowControl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1BE9519D">
      <w:pPr>
        <w:pStyle w:val="13"/>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14:paraId="5D15D4F8">
      <w:pPr>
        <w:pStyle w:val="13"/>
        <w:widowControl w:val="0"/>
        <w:adjustRightInd w:val="0"/>
        <w:snapToGrid w:val="0"/>
        <w:spacing w:line="360" w:lineRule="auto"/>
        <w:ind w:firstLine="560"/>
        <w:rPr>
          <w:rFonts w:ascii="宋体"/>
        </w:rPr>
      </w:pPr>
      <w:r>
        <w:rPr>
          <w:rFonts w:ascii="宋体"/>
        </w:rPr>
        <w:t>1、安全管理；</w:t>
      </w:r>
    </w:p>
    <w:p w14:paraId="566935D1">
      <w:pPr>
        <w:pStyle w:val="13"/>
        <w:widowControl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2DEE8657">
      <w:pPr>
        <w:pStyle w:val="13"/>
        <w:widowControl w:val="0"/>
        <w:adjustRightInd w:val="0"/>
        <w:snapToGrid w:val="0"/>
        <w:spacing w:line="360" w:lineRule="auto"/>
        <w:ind w:firstLine="560"/>
        <w:rPr>
          <w:rFonts w:ascii="宋体"/>
        </w:rPr>
      </w:pPr>
      <w:r>
        <w:rPr>
          <w:rFonts w:ascii="宋体"/>
        </w:rPr>
        <w:t>3、加油工艺及设施；</w:t>
      </w:r>
    </w:p>
    <w:p w14:paraId="4E565857">
      <w:pPr>
        <w:pStyle w:val="13"/>
        <w:widowControl w:val="0"/>
        <w:adjustRightInd w:val="0"/>
        <w:snapToGrid w:val="0"/>
        <w:spacing w:line="360" w:lineRule="auto"/>
        <w:ind w:firstLine="560"/>
        <w:rPr>
          <w:rFonts w:ascii="宋体"/>
        </w:rPr>
      </w:pPr>
      <w:r>
        <w:rPr>
          <w:rFonts w:ascii="宋体"/>
        </w:rPr>
        <w:t>4、其它安全设施等。</w:t>
      </w:r>
      <w:bookmarkStart w:id="31" w:name="_Toc19785"/>
      <w:bookmarkStart w:id="32" w:name="_Toc24232"/>
      <w:bookmarkStart w:id="33" w:name="_Toc238007575"/>
      <w:bookmarkStart w:id="34" w:name="_Toc272364537"/>
      <w:bookmarkStart w:id="35" w:name="_Toc198026274"/>
      <w:bookmarkStart w:id="36" w:name="_Toc15033755"/>
      <w:bookmarkStart w:id="37" w:name="_Toc188079886"/>
      <w:bookmarkStart w:id="38" w:name="_Toc188080068"/>
      <w:bookmarkStart w:id="39" w:name="_Toc192907202"/>
    </w:p>
    <w:p w14:paraId="3940E4FD">
      <w:pPr>
        <w:adjustRightInd w:val="0"/>
        <w:snapToGrid w:val="0"/>
        <w:spacing w:before="120" w:after="120" w:line="560" w:lineRule="exact"/>
        <w:jc w:val="center"/>
        <w:outlineLvl w:val="1"/>
        <w:rPr>
          <w:rFonts w:ascii="Calibri" w:hAnsi="Calibri" w:eastAsia="楷体_GB2312"/>
          <w:b/>
          <w:kern w:val="0"/>
          <w:sz w:val="32"/>
          <w:szCs w:val="20"/>
        </w:rPr>
      </w:pPr>
      <w:bookmarkStart w:id="40" w:name="_Toc102634259"/>
      <w:bookmarkStart w:id="41" w:name="_Toc102633908"/>
      <w:bookmarkStart w:id="42" w:name="_Toc102634408"/>
      <w:bookmarkStart w:id="43" w:name="_Toc102633982"/>
      <w:r>
        <w:rPr>
          <w:rFonts w:ascii="Calibri" w:hAnsi="Calibri" w:eastAsia="楷体_GB2312"/>
          <w:b/>
          <w:kern w:val="0"/>
          <w:sz w:val="32"/>
          <w:szCs w:val="20"/>
        </w:rPr>
        <w:t>第二节 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14:paraId="47AFCBAA">
      <w:pPr>
        <w:pStyle w:val="13"/>
        <w:widowControl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3A3470BB">
      <w:pPr>
        <w:pStyle w:val="13"/>
        <w:widowControl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148B9CE0">
      <w:pPr>
        <w:pStyle w:val="13"/>
        <w:widowControl w:val="0"/>
        <w:adjustRightInd w:val="0"/>
        <w:snapToGrid w:val="0"/>
        <w:spacing w:line="360" w:lineRule="auto"/>
        <w:ind w:firstLine="560"/>
        <w:rPr>
          <w:rFonts w:ascii="宋体"/>
        </w:rPr>
      </w:pPr>
      <w:r>
        <w:rPr>
          <w:rFonts w:ascii="宋体"/>
        </w:rPr>
        <w:t>根据本次安全评价的特点，结合</w:t>
      </w:r>
      <w:r>
        <w:rPr>
          <w:rFonts w:hint="eastAsia" w:ascii="宋体"/>
          <w:lang w:eastAsia="zh-CN"/>
        </w:rPr>
        <w:t>中国石化山东泰山石油股份有限公司泰安第三十四加油站</w:t>
      </w:r>
      <w:r>
        <w:rPr>
          <w:rFonts w:ascii="宋体"/>
        </w:rPr>
        <w:t>的具体情况，选用安全检查表、事故树法及危险度评价法对加油站进行评价。具体应用如下表所示：</w:t>
      </w:r>
    </w:p>
    <w:p w14:paraId="1FAAC15C">
      <w:pPr>
        <w:pStyle w:val="15"/>
        <w:widowControl w:val="0"/>
        <w:adjustRightInd w:val="0"/>
        <w:snapToGrid w:val="0"/>
        <w:outlineLvl w:val="9"/>
        <w:rPr>
          <w:rFonts w:ascii="黑体" w:hAnsi="黑体"/>
        </w:rPr>
      </w:pPr>
      <w:r>
        <w:rPr>
          <w:rFonts w:ascii="黑体" w:hAnsi="黑体"/>
        </w:rPr>
        <w:t>表4.2-1 评价方法选择一览表</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8"/>
        <w:gridCol w:w="2387"/>
        <w:gridCol w:w="2224"/>
        <w:gridCol w:w="2173"/>
        <w:gridCol w:w="1806"/>
      </w:tblGrid>
      <w:tr w14:paraId="60EE47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vAlign w:val="center"/>
          </w:tcPr>
          <w:p w14:paraId="3E5CCF31">
            <w:pPr>
              <w:pStyle w:val="16"/>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5DCEA62A">
            <w:pPr>
              <w:pStyle w:val="16"/>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53144436">
            <w:pPr>
              <w:pStyle w:val="16"/>
              <w:widowControl w:val="0"/>
              <w:adjustRightInd w:val="0"/>
              <w:snapToGrid w:val="0"/>
              <w:spacing w:line="360" w:lineRule="auto"/>
              <w:rPr>
                <w:rFonts w:ascii="宋体"/>
                <w:b/>
              </w:rPr>
            </w:pPr>
            <w:r>
              <w:rPr>
                <w:rFonts w:ascii="宋体"/>
                <w:b/>
                <w:lang w:val="en-GB"/>
              </w:rPr>
              <w:t>评价方法</w:t>
            </w:r>
          </w:p>
        </w:tc>
      </w:tr>
      <w:tr w14:paraId="4D97A3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vAlign w:val="center"/>
          </w:tcPr>
          <w:p w14:paraId="74081DE3">
            <w:pPr>
              <w:pStyle w:val="16"/>
              <w:widowControl w:val="0"/>
              <w:adjustRightInd w:val="0"/>
              <w:snapToGrid w:val="0"/>
              <w:spacing w:line="360" w:lineRule="auto"/>
              <w:rPr>
                <w:rFonts w:ascii="宋体"/>
                <w:b/>
                <w:lang w:val="en-GB"/>
              </w:rPr>
            </w:pPr>
          </w:p>
        </w:tc>
        <w:tc>
          <w:tcPr>
            <w:tcW w:w="1285" w:type="pct"/>
            <w:vMerge w:val="continue"/>
            <w:vAlign w:val="center"/>
          </w:tcPr>
          <w:p w14:paraId="5A642672">
            <w:pPr>
              <w:pStyle w:val="16"/>
              <w:widowControl w:val="0"/>
              <w:adjustRightInd w:val="0"/>
              <w:snapToGrid w:val="0"/>
              <w:spacing w:line="360" w:lineRule="auto"/>
              <w:rPr>
                <w:rFonts w:ascii="宋体"/>
                <w:b/>
              </w:rPr>
            </w:pPr>
          </w:p>
        </w:tc>
        <w:tc>
          <w:tcPr>
            <w:tcW w:w="1197" w:type="pct"/>
            <w:vAlign w:val="center"/>
          </w:tcPr>
          <w:p w14:paraId="0CA1CF14">
            <w:pPr>
              <w:pStyle w:val="16"/>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082ECF61">
            <w:pPr>
              <w:pStyle w:val="16"/>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0B72242C">
            <w:pPr>
              <w:pStyle w:val="16"/>
              <w:widowControl w:val="0"/>
              <w:adjustRightInd w:val="0"/>
              <w:snapToGrid w:val="0"/>
              <w:spacing w:line="360" w:lineRule="auto"/>
              <w:rPr>
                <w:rFonts w:ascii="宋体"/>
                <w:b/>
                <w:lang w:val="en-GB"/>
              </w:rPr>
            </w:pPr>
            <w:r>
              <w:rPr>
                <w:rFonts w:ascii="宋体"/>
                <w:b/>
                <w:lang w:val="en-GB"/>
              </w:rPr>
              <w:t>事故树法</w:t>
            </w:r>
          </w:p>
        </w:tc>
      </w:tr>
      <w:tr w14:paraId="46EDB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1017D0F8">
            <w:pPr>
              <w:pStyle w:val="16"/>
              <w:widowControl w:val="0"/>
              <w:adjustRightInd w:val="0"/>
              <w:snapToGrid w:val="0"/>
              <w:spacing w:line="360" w:lineRule="auto"/>
              <w:rPr>
                <w:rFonts w:ascii="宋体"/>
                <w:lang w:val="en-GB"/>
              </w:rPr>
            </w:pPr>
            <w:r>
              <w:rPr>
                <w:rFonts w:ascii="宋体"/>
                <w:lang w:val="en-GB"/>
              </w:rPr>
              <w:t>1</w:t>
            </w:r>
          </w:p>
        </w:tc>
        <w:tc>
          <w:tcPr>
            <w:tcW w:w="1285" w:type="pct"/>
            <w:vAlign w:val="center"/>
          </w:tcPr>
          <w:p w14:paraId="45F67D85">
            <w:pPr>
              <w:pStyle w:val="16"/>
              <w:widowControl w:val="0"/>
              <w:adjustRightInd w:val="0"/>
              <w:snapToGrid w:val="0"/>
              <w:spacing w:line="360" w:lineRule="auto"/>
              <w:rPr>
                <w:rFonts w:ascii="宋体"/>
                <w:lang w:val="en-GB"/>
              </w:rPr>
            </w:pPr>
            <w:r>
              <w:rPr>
                <w:rFonts w:ascii="宋体"/>
                <w:lang w:val="en-GB"/>
              </w:rPr>
              <w:t>安全管理单元</w:t>
            </w:r>
          </w:p>
        </w:tc>
        <w:tc>
          <w:tcPr>
            <w:tcW w:w="1197" w:type="pct"/>
            <w:vAlign w:val="center"/>
          </w:tcPr>
          <w:p w14:paraId="5ADBE368">
            <w:pPr>
              <w:pStyle w:val="16"/>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20142EDC">
            <w:pPr>
              <w:pStyle w:val="16"/>
              <w:widowControl w:val="0"/>
              <w:adjustRightInd w:val="0"/>
              <w:snapToGrid w:val="0"/>
              <w:spacing w:line="360" w:lineRule="auto"/>
              <w:rPr>
                <w:rFonts w:ascii="宋体"/>
              </w:rPr>
            </w:pPr>
          </w:p>
        </w:tc>
        <w:tc>
          <w:tcPr>
            <w:tcW w:w="972" w:type="pct"/>
            <w:vAlign w:val="center"/>
          </w:tcPr>
          <w:p w14:paraId="42584BB1">
            <w:pPr>
              <w:pStyle w:val="16"/>
              <w:widowControl w:val="0"/>
              <w:adjustRightInd w:val="0"/>
              <w:snapToGrid w:val="0"/>
              <w:spacing w:line="360" w:lineRule="auto"/>
              <w:rPr>
                <w:rFonts w:ascii="宋体"/>
              </w:rPr>
            </w:pPr>
          </w:p>
        </w:tc>
      </w:tr>
      <w:tr w14:paraId="1D169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40D691C8">
            <w:pPr>
              <w:pStyle w:val="16"/>
              <w:widowControl w:val="0"/>
              <w:adjustRightInd w:val="0"/>
              <w:snapToGrid w:val="0"/>
              <w:spacing w:line="360" w:lineRule="auto"/>
              <w:rPr>
                <w:rFonts w:ascii="宋体"/>
                <w:lang w:val="en-GB"/>
              </w:rPr>
            </w:pPr>
            <w:r>
              <w:rPr>
                <w:rFonts w:ascii="宋体"/>
                <w:lang w:val="en-GB"/>
              </w:rPr>
              <w:t>2</w:t>
            </w:r>
          </w:p>
        </w:tc>
        <w:tc>
          <w:tcPr>
            <w:tcW w:w="1285" w:type="pct"/>
            <w:vAlign w:val="center"/>
          </w:tcPr>
          <w:p w14:paraId="27F0AEE1">
            <w:pPr>
              <w:pStyle w:val="16"/>
              <w:widowControl w:val="0"/>
              <w:adjustRightInd w:val="0"/>
              <w:snapToGrid w:val="0"/>
              <w:spacing w:line="360" w:lineRule="auto"/>
              <w:rPr>
                <w:rFonts w:ascii="宋体"/>
                <w:lang w:val="en-GB"/>
              </w:rPr>
            </w:pPr>
            <w:r>
              <w:rPr>
                <w:rFonts w:ascii="宋体"/>
                <w:lang w:val="en-GB"/>
              </w:rPr>
              <w:t>站址选择及总平面布置</w:t>
            </w:r>
          </w:p>
        </w:tc>
        <w:tc>
          <w:tcPr>
            <w:tcW w:w="1197" w:type="pct"/>
            <w:vAlign w:val="center"/>
          </w:tcPr>
          <w:p w14:paraId="5954E19B">
            <w:pPr>
              <w:pStyle w:val="16"/>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05DB629E">
            <w:pPr>
              <w:pStyle w:val="16"/>
              <w:widowControl w:val="0"/>
              <w:adjustRightInd w:val="0"/>
              <w:snapToGrid w:val="0"/>
              <w:spacing w:line="360" w:lineRule="auto"/>
              <w:rPr>
                <w:rFonts w:ascii="宋体"/>
              </w:rPr>
            </w:pPr>
          </w:p>
        </w:tc>
        <w:tc>
          <w:tcPr>
            <w:tcW w:w="972" w:type="pct"/>
            <w:vAlign w:val="center"/>
          </w:tcPr>
          <w:p w14:paraId="197980F1">
            <w:pPr>
              <w:pStyle w:val="16"/>
              <w:widowControl w:val="0"/>
              <w:adjustRightInd w:val="0"/>
              <w:snapToGrid w:val="0"/>
              <w:spacing w:line="360" w:lineRule="auto"/>
              <w:rPr>
                <w:rFonts w:ascii="宋体"/>
              </w:rPr>
            </w:pPr>
          </w:p>
        </w:tc>
      </w:tr>
      <w:tr w14:paraId="52EDA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34654052">
            <w:pPr>
              <w:pStyle w:val="16"/>
              <w:widowControl w:val="0"/>
              <w:adjustRightInd w:val="0"/>
              <w:snapToGrid w:val="0"/>
              <w:spacing w:line="360" w:lineRule="auto"/>
              <w:rPr>
                <w:rFonts w:ascii="宋体"/>
                <w:lang w:val="en-GB"/>
              </w:rPr>
            </w:pPr>
            <w:r>
              <w:rPr>
                <w:rFonts w:ascii="宋体"/>
                <w:lang w:val="en-GB"/>
              </w:rPr>
              <w:t>3</w:t>
            </w:r>
          </w:p>
        </w:tc>
        <w:tc>
          <w:tcPr>
            <w:tcW w:w="1285" w:type="pct"/>
            <w:vAlign w:val="center"/>
          </w:tcPr>
          <w:p w14:paraId="1AC9B3A9">
            <w:pPr>
              <w:pStyle w:val="16"/>
              <w:widowControl w:val="0"/>
              <w:adjustRightInd w:val="0"/>
              <w:snapToGrid w:val="0"/>
              <w:spacing w:line="360" w:lineRule="auto"/>
              <w:rPr>
                <w:rFonts w:ascii="宋体"/>
                <w:lang w:val="en-GB"/>
              </w:rPr>
            </w:pPr>
            <w:r>
              <w:rPr>
                <w:rFonts w:ascii="宋体"/>
                <w:lang w:val="en-GB"/>
              </w:rPr>
              <w:t>加油工艺及设施</w:t>
            </w:r>
          </w:p>
        </w:tc>
        <w:tc>
          <w:tcPr>
            <w:tcW w:w="1197" w:type="pct"/>
            <w:vAlign w:val="center"/>
          </w:tcPr>
          <w:p w14:paraId="2AC3450A">
            <w:pPr>
              <w:pStyle w:val="16"/>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631BB072">
            <w:pPr>
              <w:pStyle w:val="16"/>
              <w:widowControl w:val="0"/>
              <w:adjustRightInd w:val="0"/>
              <w:snapToGrid w:val="0"/>
              <w:spacing w:line="360" w:lineRule="auto"/>
              <w:rPr>
                <w:rFonts w:ascii="宋体"/>
              </w:rPr>
            </w:pPr>
            <w:r>
              <w:rPr>
                <w:rFonts w:hint="eastAsia" w:ascii="宋体" w:hAnsi="宋体" w:cs="宋体"/>
              </w:rPr>
              <w:t>★</w:t>
            </w:r>
          </w:p>
        </w:tc>
        <w:tc>
          <w:tcPr>
            <w:tcW w:w="972" w:type="pct"/>
            <w:vAlign w:val="center"/>
          </w:tcPr>
          <w:p w14:paraId="1756649D">
            <w:pPr>
              <w:pStyle w:val="16"/>
              <w:widowControl w:val="0"/>
              <w:adjustRightInd w:val="0"/>
              <w:snapToGrid w:val="0"/>
              <w:spacing w:line="360" w:lineRule="auto"/>
              <w:rPr>
                <w:rFonts w:ascii="宋体"/>
              </w:rPr>
            </w:pPr>
            <w:r>
              <w:rPr>
                <w:rFonts w:hint="eastAsia" w:ascii="宋体" w:hAnsi="宋体" w:cs="宋体"/>
              </w:rPr>
              <w:t>★</w:t>
            </w:r>
          </w:p>
        </w:tc>
      </w:tr>
      <w:tr w14:paraId="0BCC74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40F80938">
            <w:pPr>
              <w:pStyle w:val="16"/>
              <w:widowControl w:val="0"/>
              <w:adjustRightInd w:val="0"/>
              <w:snapToGrid w:val="0"/>
              <w:spacing w:line="360" w:lineRule="auto"/>
              <w:rPr>
                <w:rFonts w:ascii="宋体"/>
                <w:lang w:val="en-GB"/>
              </w:rPr>
            </w:pPr>
            <w:r>
              <w:rPr>
                <w:rFonts w:ascii="宋体"/>
                <w:lang w:val="en-GB"/>
              </w:rPr>
              <w:t>4</w:t>
            </w:r>
          </w:p>
        </w:tc>
        <w:tc>
          <w:tcPr>
            <w:tcW w:w="1285" w:type="pct"/>
            <w:vAlign w:val="center"/>
          </w:tcPr>
          <w:p w14:paraId="563412B5">
            <w:pPr>
              <w:pStyle w:val="16"/>
              <w:widowControl w:val="0"/>
              <w:adjustRightInd w:val="0"/>
              <w:snapToGrid w:val="0"/>
              <w:spacing w:line="360" w:lineRule="auto"/>
              <w:rPr>
                <w:rFonts w:ascii="宋体"/>
                <w:lang w:val="en-GB"/>
              </w:rPr>
            </w:pPr>
            <w:r>
              <w:rPr>
                <w:rFonts w:ascii="宋体"/>
                <w:lang w:val="en-GB"/>
              </w:rPr>
              <w:t>其它安全设施</w:t>
            </w:r>
          </w:p>
        </w:tc>
        <w:tc>
          <w:tcPr>
            <w:tcW w:w="1197" w:type="pct"/>
            <w:vAlign w:val="center"/>
          </w:tcPr>
          <w:p w14:paraId="3407DBF7">
            <w:pPr>
              <w:pStyle w:val="16"/>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3D47EDE2">
            <w:pPr>
              <w:pStyle w:val="16"/>
              <w:widowControl w:val="0"/>
              <w:adjustRightInd w:val="0"/>
              <w:snapToGrid w:val="0"/>
              <w:spacing w:line="360" w:lineRule="auto"/>
              <w:rPr>
                <w:rFonts w:ascii="宋体"/>
              </w:rPr>
            </w:pPr>
          </w:p>
        </w:tc>
        <w:tc>
          <w:tcPr>
            <w:tcW w:w="972" w:type="pct"/>
            <w:vAlign w:val="center"/>
          </w:tcPr>
          <w:p w14:paraId="6E608E70">
            <w:pPr>
              <w:pStyle w:val="16"/>
              <w:widowControl w:val="0"/>
              <w:adjustRightInd w:val="0"/>
              <w:snapToGrid w:val="0"/>
              <w:spacing w:line="360" w:lineRule="auto"/>
              <w:rPr>
                <w:rFonts w:ascii="宋体"/>
              </w:rPr>
            </w:pPr>
          </w:p>
        </w:tc>
      </w:tr>
    </w:tbl>
    <w:p w14:paraId="5246D7E8">
      <w:pPr>
        <w:pStyle w:val="13"/>
        <w:widowControl w:val="0"/>
        <w:spacing w:line="360" w:lineRule="auto"/>
        <w:ind w:firstLine="420"/>
        <w:rPr>
          <w:rFonts w:ascii="黑体" w:hAnsi="黑体" w:eastAsia="黑体"/>
          <w:highlight w:val="none"/>
        </w:rPr>
      </w:pPr>
      <w:r>
        <w:rPr>
          <w:rFonts w:ascii="黑体" w:hAnsi="黑体" w:eastAsia="黑体"/>
          <w:sz w:val="21"/>
          <w:szCs w:val="21"/>
          <w:u w:color="000000"/>
        </w:rPr>
        <w:t>注：表中“★”表示采用的评价方法</w:t>
      </w:r>
      <w:r>
        <w:rPr>
          <w:rFonts w:ascii="黑体" w:hAnsi="黑体" w:eastAsia="黑体"/>
          <w:sz w:val="21"/>
          <w:szCs w:val="21"/>
          <w:highlight w:val="none"/>
          <w:u w:color="000000"/>
        </w:rPr>
        <w:t>。</w:t>
      </w:r>
    </w:p>
    <w:p w14:paraId="0D44F414">
      <w:pPr>
        <w:pStyle w:val="5"/>
        <w:rPr>
          <w:rFonts w:hint="default"/>
          <w:lang w:val="en-US" w:eastAsia="zh-CN"/>
        </w:rPr>
      </w:pPr>
    </w:p>
    <w:p w14:paraId="3853A0C8">
      <w:pPr>
        <w:pStyle w:val="5"/>
        <w:rPr>
          <w:rFonts w:hint="default"/>
          <w:lang w:val="en-US" w:eastAsia="zh-CN"/>
        </w:rPr>
      </w:pPr>
    </w:p>
    <w:p w14:paraId="2F2E377C">
      <w:pPr>
        <w:pStyle w:val="5"/>
        <w:rPr>
          <w:rFonts w:hint="default"/>
          <w:lang w:val="en-US" w:eastAsia="zh-CN"/>
        </w:rPr>
      </w:pPr>
    </w:p>
    <w:p w14:paraId="57F3908E">
      <w:pPr>
        <w:pStyle w:val="14"/>
        <w:widowControl w:val="0"/>
        <w:adjustRightInd w:val="0"/>
        <w:snapToGrid w:val="0"/>
        <w:spacing w:before="468" w:beforeLines="150" w:after="156" w:afterLines="50" w:line="360" w:lineRule="auto"/>
      </w:pPr>
      <w:bookmarkStart w:id="44" w:name="_Toc15033761"/>
      <w:bookmarkStart w:id="45" w:name="_Toc9894"/>
      <w:bookmarkStart w:id="46" w:name="_Toc102633914"/>
      <w:bookmarkStart w:id="47" w:name="_Toc102633988"/>
      <w:bookmarkStart w:id="48" w:name="_Toc102634276"/>
      <w:bookmarkStart w:id="49" w:name="_Toc102634414"/>
      <w:r>
        <w:t>第六章  安全对策措施及建议</w:t>
      </w:r>
      <w:bookmarkEnd w:id="44"/>
      <w:bookmarkEnd w:id="45"/>
      <w:bookmarkEnd w:id="46"/>
      <w:bookmarkEnd w:id="47"/>
      <w:bookmarkEnd w:id="48"/>
      <w:bookmarkEnd w:id="49"/>
    </w:p>
    <w:p w14:paraId="33A52ABB">
      <w:pPr>
        <w:adjustRightInd w:val="0"/>
        <w:snapToGrid w:val="0"/>
        <w:spacing w:before="120" w:after="120" w:line="560" w:lineRule="exact"/>
        <w:jc w:val="center"/>
        <w:outlineLvl w:val="1"/>
        <w:rPr>
          <w:rFonts w:ascii="Calibri" w:hAnsi="Calibri" w:eastAsia="楷体_GB2312"/>
          <w:b/>
          <w:kern w:val="0"/>
          <w:sz w:val="32"/>
          <w:szCs w:val="20"/>
        </w:rPr>
      </w:pPr>
      <w:bookmarkStart w:id="50" w:name="_Toc225046264"/>
      <w:bookmarkStart w:id="51" w:name="_Toc339456079"/>
      <w:bookmarkStart w:id="52" w:name="_Toc348877039"/>
      <w:bookmarkStart w:id="53" w:name="_Toc102633989"/>
      <w:bookmarkStart w:id="54" w:name="_Toc242065302"/>
      <w:bookmarkStart w:id="55" w:name="_Toc102634277"/>
      <w:bookmarkStart w:id="56" w:name="_Toc15033762"/>
      <w:bookmarkStart w:id="57" w:name="_Toc102634415"/>
      <w:bookmarkStart w:id="58" w:name="_Toc4961"/>
      <w:bookmarkStart w:id="59" w:name="_Toc102633915"/>
      <w:r>
        <w:rPr>
          <w:rFonts w:ascii="Calibri" w:hAnsi="Calibri" w:eastAsia="楷体_GB2312"/>
          <w:b/>
          <w:kern w:val="0"/>
          <w:sz w:val="32"/>
          <w:szCs w:val="20"/>
        </w:rPr>
        <w:t xml:space="preserve">第一节 </w:t>
      </w:r>
      <w:bookmarkEnd w:id="50"/>
      <w:bookmarkEnd w:id="51"/>
      <w:r>
        <w:rPr>
          <w:rFonts w:ascii="Calibri" w:hAnsi="Calibri" w:eastAsia="楷体_GB2312"/>
          <w:b/>
          <w:kern w:val="0"/>
          <w:sz w:val="32"/>
          <w:szCs w:val="20"/>
        </w:rPr>
        <w:t>存在的问题及整改建议</w:t>
      </w:r>
      <w:bookmarkEnd w:id="52"/>
      <w:bookmarkEnd w:id="53"/>
      <w:bookmarkEnd w:id="54"/>
      <w:bookmarkEnd w:id="55"/>
      <w:bookmarkEnd w:id="56"/>
      <w:bookmarkEnd w:id="57"/>
      <w:bookmarkEnd w:id="58"/>
      <w:bookmarkEnd w:id="59"/>
    </w:p>
    <w:p w14:paraId="6CE04EA5">
      <w:pPr>
        <w:adjustRightInd w:val="0"/>
        <w:snapToGrid w:val="0"/>
        <w:spacing w:line="360" w:lineRule="auto"/>
        <w:ind w:firstLine="560" w:firstLineChars="200"/>
        <w:rPr>
          <w:rFonts w:ascii="宋体"/>
          <w:kern w:val="0"/>
          <w:sz w:val="28"/>
          <w:szCs w:val="20"/>
        </w:rPr>
      </w:pPr>
      <w:bookmarkStart w:id="60" w:name="_Toc49590281"/>
      <w:bookmarkStart w:id="61" w:name="_Toc15033763"/>
      <w:r>
        <w:rPr>
          <w:rFonts w:ascii="宋体"/>
          <w:kern w:val="0"/>
          <w:sz w:val="28"/>
          <w:szCs w:val="20"/>
        </w:rPr>
        <w:t>通过现场检查和审查有关资料</w:t>
      </w:r>
      <w:r>
        <w:rPr>
          <w:rFonts w:hint="eastAsia" w:ascii="宋体"/>
          <w:kern w:val="0"/>
          <w:sz w:val="28"/>
          <w:szCs w:val="20"/>
        </w:rPr>
        <w:t>可以看出，该加油站发现</w:t>
      </w:r>
      <w:r>
        <w:rPr>
          <w:rFonts w:hint="eastAsia" w:ascii="宋体"/>
          <w:kern w:val="0"/>
          <w:sz w:val="28"/>
          <w:szCs w:val="20"/>
          <w:lang w:val="en-US" w:eastAsia="zh-CN"/>
        </w:rPr>
        <w:t>以下</w:t>
      </w:r>
      <w:r>
        <w:rPr>
          <w:rFonts w:hint="eastAsia" w:ascii="宋体"/>
          <w:kern w:val="0"/>
          <w:sz w:val="28"/>
          <w:szCs w:val="20"/>
        </w:rPr>
        <w:t>问题：</w:t>
      </w:r>
    </w:p>
    <w:bookmarkEnd w:id="60"/>
    <w:bookmarkEnd w:id="61"/>
    <w:p w14:paraId="4B0AF788">
      <w:pPr>
        <w:widowControl/>
        <w:adjustRightInd w:val="0"/>
        <w:snapToGrid w:val="0"/>
        <w:spacing w:line="360" w:lineRule="auto"/>
        <w:jc w:val="center"/>
        <w:textAlignment w:val="baseline"/>
        <w:rPr>
          <w:rFonts w:eastAsia="黑体"/>
          <w:kern w:val="0"/>
          <w:sz w:val="24"/>
          <w:szCs w:val="24"/>
          <w:u w:color="000000"/>
        </w:rPr>
      </w:pPr>
      <w:r>
        <w:rPr>
          <w:rFonts w:hint="eastAsia" w:ascii="黑体" w:hAnsi="黑体" w:eastAsia="黑体" w:cs="黑体"/>
          <w:kern w:val="0"/>
          <w:sz w:val="24"/>
          <w:szCs w:val="24"/>
          <w:u w:color="000000"/>
        </w:rPr>
        <w:t>表6.1-1</w:t>
      </w:r>
      <w:r>
        <w:rPr>
          <w:rFonts w:hint="eastAsia" w:eastAsia="黑体"/>
          <w:kern w:val="0"/>
          <w:sz w:val="24"/>
          <w:szCs w:val="24"/>
          <w:u w:color="000000"/>
        </w:rPr>
        <w:t xml:space="preserve">  现场存在问题表</w:t>
      </w:r>
    </w:p>
    <w:tbl>
      <w:tblPr>
        <w:tblStyle w:val="7"/>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07DF1F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04663989">
            <w:pPr>
              <w:widowControl/>
              <w:tabs>
                <w:tab w:val="left" w:pos="6120"/>
              </w:tabs>
              <w:adjustRightInd w:val="0"/>
              <w:snapToGrid w:val="0"/>
              <w:spacing w:before="31" w:beforeLines="10" w:after="31" w:afterLines="10" w:line="320" w:lineRule="exact"/>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14:paraId="4CA3B8D9">
            <w:pPr>
              <w:widowControl/>
              <w:tabs>
                <w:tab w:val="left" w:pos="6120"/>
              </w:tabs>
              <w:adjustRightInd w:val="0"/>
              <w:snapToGrid w:val="0"/>
              <w:spacing w:before="31" w:beforeLines="10" w:after="31" w:afterLines="10" w:line="320" w:lineRule="exact"/>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14:paraId="2C9B5A5D">
            <w:pPr>
              <w:widowControl/>
              <w:tabs>
                <w:tab w:val="left" w:pos="6120"/>
              </w:tabs>
              <w:adjustRightInd w:val="0"/>
              <w:snapToGrid w:val="0"/>
              <w:spacing w:before="31" w:beforeLines="10" w:after="31" w:afterLines="10" w:line="320" w:lineRule="exact"/>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14:paraId="3CE03D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28466B9">
            <w:pPr>
              <w:widowControl/>
              <w:tabs>
                <w:tab w:val="left" w:pos="6120"/>
              </w:tabs>
              <w:adjustRightInd w:val="0"/>
              <w:snapToGrid w:val="0"/>
              <w:spacing w:before="31" w:beforeLines="10" w:after="31" w:afterLines="10" w:line="320" w:lineRule="exact"/>
              <w:jc w:val="center"/>
              <w:textAlignment w:val="baseline"/>
              <w:rPr>
                <w:rFonts w:hint="default" w:ascii="宋体" w:hAnsi="宋体" w:eastAsia="宋体"/>
                <w:bCs/>
                <w:kern w:val="0"/>
                <w:position w:val="2"/>
                <w:u w:color="000000"/>
                <w:lang w:val="en-US" w:eastAsia="zh-CN"/>
              </w:rPr>
            </w:pPr>
            <w:r>
              <w:rPr>
                <w:rFonts w:hint="eastAsia" w:ascii="宋体" w:hAnsi="宋体"/>
                <w:bCs/>
                <w:kern w:val="0"/>
                <w:position w:val="2"/>
                <w:u w:color="000000"/>
                <w:lang w:val="en-US" w:eastAsia="zh-CN"/>
              </w:rPr>
              <w:t>1</w:t>
            </w:r>
          </w:p>
        </w:tc>
        <w:tc>
          <w:tcPr>
            <w:tcW w:w="3845" w:type="dxa"/>
            <w:vAlign w:val="center"/>
          </w:tcPr>
          <w:p w14:paraId="2E2831EF">
            <w:pPr>
              <w:widowControl/>
              <w:adjustRightInd w:val="0"/>
              <w:snapToGrid w:val="0"/>
              <w:spacing w:before="31" w:beforeLines="10" w:after="31" w:afterLines="10" w:line="320" w:lineRule="exact"/>
              <w:jc w:val="center"/>
              <w:textAlignment w:val="baseline"/>
              <w:rPr>
                <w:rFonts w:hint="default" w:ascii="宋体" w:hAnsi="宋体" w:eastAsia="宋体"/>
                <w:kern w:val="0"/>
                <w:u w:color="000000"/>
                <w:lang w:val="en-US" w:eastAsia="zh-CN"/>
              </w:rPr>
            </w:pPr>
            <w:r>
              <w:rPr>
                <w:rFonts w:hint="eastAsia" w:ascii="宋体" w:hAnsi="宋体"/>
                <w:kern w:val="0"/>
                <w:u w:color="000000"/>
                <w:lang w:val="en-US" w:eastAsia="zh-CN"/>
              </w:rPr>
              <w:t>静电接地报警器故障。</w:t>
            </w:r>
          </w:p>
        </w:tc>
        <w:tc>
          <w:tcPr>
            <w:tcW w:w="4740" w:type="dxa"/>
            <w:vAlign w:val="center"/>
          </w:tcPr>
          <w:p w14:paraId="285986B3">
            <w:pPr>
              <w:widowControl/>
              <w:adjustRightInd w:val="0"/>
              <w:snapToGrid w:val="0"/>
              <w:spacing w:before="31" w:beforeLines="10" w:after="31" w:afterLines="10" w:line="320" w:lineRule="exact"/>
              <w:jc w:val="center"/>
              <w:textAlignment w:val="baseline"/>
              <w:rPr>
                <w:rFonts w:hint="default" w:ascii="宋体" w:hAnsi="宋体" w:eastAsia="宋体"/>
                <w:kern w:val="0"/>
                <w:u w:color="000000"/>
                <w:lang w:val="en-US" w:eastAsia="zh-CN"/>
              </w:rPr>
            </w:pPr>
            <w:r>
              <w:rPr>
                <w:rFonts w:hint="eastAsia" w:ascii="宋体" w:hAnsi="宋体"/>
                <w:kern w:val="0"/>
                <w:u w:color="000000"/>
                <w:lang w:val="en-US" w:eastAsia="zh-CN"/>
              </w:rPr>
              <w:t>应及时维修或更换。</w:t>
            </w:r>
          </w:p>
        </w:tc>
      </w:tr>
    </w:tbl>
    <w:p w14:paraId="745C26B5">
      <w:pPr>
        <w:pStyle w:val="5"/>
        <w:rPr>
          <w:rFonts w:hint="eastAsia" w:ascii="宋体"/>
          <w:color w:val="auto"/>
          <w:kern w:val="0"/>
          <w:sz w:val="28"/>
          <w:szCs w:val="20"/>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kern w:val="0"/>
          <w:sz w:val="28"/>
          <w:szCs w:val="20"/>
          <w:lang w:val="en-US" w:eastAsia="zh-CN"/>
        </w:rPr>
        <w:t>除上述问题，</w:t>
      </w:r>
      <w:r>
        <w:rPr>
          <w:rFonts w:hint="eastAsia" w:ascii="宋体"/>
          <w:kern w:val="0"/>
          <w:sz w:val="28"/>
          <w:szCs w:val="20"/>
        </w:rPr>
        <w:t>该加油站在安全管理、站址选择及总平面布置、加油工艺及设施、其它设施等方面符合有关法律、标准规范的要求</w:t>
      </w:r>
      <w:r>
        <w:rPr>
          <w:rFonts w:hint="eastAsia" w:ascii="宋体"/>
          <w:color w:val="auto"/>
          <w:kern w:val="0"/>
          <w:sz w:val="28"/>
          <w:szCs w:val="20"/>
        </w:rPr>
        <w:t>。</w:t>
      </w:r>
    </w:p>
    <w:p w14:paraId="7FAC2E7F">
      <w:pPr>
        <w:pStyle w:val="5"/>
        <w:spacing w:line="240" w:lineRule="auto"/>
        <w:ind w:left="0" w:leftChars="0" w:firstLine="0" w:firstLineChars="0"/>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5665470" cy="8872220"/>
            <wp:effectExtent l="0" t="0" r="11430" b="508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6"/>
                    <a:stretch>
                      <a:fillRect/>
                    </a:stretch>
                  </pic:blipFill>
                  <pic:spPr>
                    <a:xfrm>
                      <a:off x="0" y="0"/>
                      <a:ext cx="5665470" cy="8872220"/>
                    </a:xfrm>
                    <a:prstGeom prst="rect">
                      <a:avLst/>
                    </a:prstGeom>
                  </pic:spPr>
                </pic:pic>
              </a:graphicData>
            </a:graphic>
          </wp:inline>
        </w:drawing>
      </w:r>
      <w:bookmarkStart w:id="62" w:name="_GoBack"/>
      <w:r>
        <w:rPr>
          <w:rFonts w:hint="default" w:ascii="宋体"/>
          <w:color w:val="auto"/>
          <w:kern w:val="0"/>
          <w:sz w:val="28"/>
          <w:szCs w:val="20"/>
          <w:lang w:val="en-US" w:eastAsia="zh-CN"/>
        </w:rPr>
        <w:drawing>
          <wp:inline distT="0" distB="0" distL="114300" distR="114300">
            <wp:extent cx="5741670" cy="8832850"/>
            <wp:effectExtent l="0" t="0" r="11430" b="635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7"/>
                    <a:stretch>
                      <a:fillRect/>
                    </a:stretch>
                  </pic:blipFill>
                  <pic:spPr>
                    <a:xfrm>
                      <a:off x="0" y="0"/>
                      <a:ext cx="5741670" cy="8832850"/>
                    </a:xfrm>
                    <a:prstGeom prst="rect">
                      <a:avLst/>
                    </a:prstGeom>
                  </pic:spPr>
                </pic:pic>
              </a:graphicData>
            </a:graphic>
          </wp:inline>
        </w:drawing>
      </w:r>
      <w:bookmarkEnd w:id="62"/>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3CC63D7"/>
    <w:rsid w:val="09D5345C"/>
    <w:rsid w:val="0A27015B"/>
    <w:rsid w:val="0BD51C61"/>
    <w:rsid w:val="0EDC1223"/>
    <w:rsid w:val="13D12EE6"/>
    <w:rsid w:val="153C4810"/>
    <w:rsid w:val="16BC1C2B"/>
    <w:rsid w:val="1E1E483E"/>
    <w:rsid w:val="22CB7136"/>
    <w:rsid w:val="284F788D"/>
    <w:rsid w:val="2A9D36CA"/>
    <w:rsid w:val="2EB02BD7"/>
    <w:rsid w:val="2EC41433"/>
    <w:rsid w:val="335F1F61"/>
    <w:rsid w:val="355F439E"/>
    <w:rsid w:val="35CC29B8"/>
    <w:rsid w:val="3B343FFC"/>
    <w:rsid w:val="3BB85D78"/>
    <w:rsid w:val="420C1409"/>
    <w:rsid w:val="4706325F"/>
    <w:rsid w:val="48FE4AE5"/>
    <w:rsid w:val="4B7D0EF4"/>
    <w:rsid w:val="537F016A"/>
    <w:rsid w:val="563D798B"/>
    <w:rsid w:val="567C6788"/>
    <w:rsid w:val="579A241E"/>
    <w:rsid w:val="5AB85F0C"/>
    <w:rsid w:val="5E953707"/>
    <w:rsid w:val="68772688"/>
    <w:rsid w:val="6AD40467"/>
    <w:rsid w:val="6BF95CAB"/>
    <w:rsid w:val="6D0669CA"/>
    <w:rsid w:val="717A11AE"/>
    <w:rsid w:val="72FD2CFB"/>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tabs>
        <w:tab w:val="left" w:pos="6120"/>
      </w:tabs>
      <w:spacing w:line="520" w:lineRule="exact"/>
      <w:ind w:left="0" w:leftChars="0"/>
    </w:pPr>
    <w:rPr>
      <w:rFonts w:ascii="黑体" w:hAnsi="黑体" w:eastAsia="黑体" w:cs="宋体"/>
      <w:sz w:val="28"/>
      <w:szCs w:val="24"/>
    </w:rPr>
  </w:style>
  <w:style w:type="paragraph" w:styleId="3">
    <w:name w:val="Body Text Indent"/>
    <w:basedOn w:val="1"/>
    <w:qFormat/>
    <w:uiPriority w:val="0"/>
    <w:pPr>
      <w:spacing w:after="120"/>
      <w:ind w:left="420" w:leftChars="200"/>
    </w:pPr>
  </w:style>
  <w:style w:type="paragraph" w:styleId="4">
    <w:name w:val="Normal Indent"/>
    <w:basedOn w:val="1"/>
    <w:qFormat/>
    <w:uiPriority w:val="99"/>
    <w:pPr>
      <w:ind w:firstLine="420"/>
    </w:pPr>
  </w:style>
  <w:style w:type="paragraph" w:styleId="5">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6">
    <w:name w:val="Plain Text"/>
    <w:basedOn w:val="1"/>
    <w:unhideWhenUsed/>
    <w:qFormat/>
    <w:uiPriority w:val="99"/>
    <w:rPr>
      <w:rFonts w:ascii="宋体" w:hAnsi="Courier New"/>
      <w:kern w:val="0"/>
      <w:sz w:val="20"/>
      <w:szCs w:val="20"/>
    </w:rPr>
  </w:style>
  <w:style w:type="paragraph" w:customStyle="1" w:styleId="9">
    <w:name w:val="111"/>
    <w:basedOn w:val="10"/>
    <w:qFormat/>
    <w:uiPriority w:val="0"/>
    <w:pPr>
      <w:widowControl/>
      <w:spacing w:beforeAutospacing="0" w:afterAutospacing="0"/>
      <w:jc w:val="left"/>
    </w:pPr>
    <w:rPr>
      <w:rFonts w:ascii="宋体" w:hAnsi="宋体" w:eastAsia="宋体" w:cs="宋体"/>
      <w:kern w:val="0"/>
      <w:sz w:val="24"/>
      <w:szCs w:val="24"/>
    </w:rPr>
  </w:style>
  <w:style w:type="paragraph" w:customStyle="1" w:styleId="10">
    <w:name w:val="题目"/>
    <w:basedOn w:val="1"/>
    <w:qFormat/>
    <w:uiPriority w:val="0"/>
    <w:pPr>
      <w:jc w:val="center"/>
      <w:outlineLvl w:val="0"/>
    </w:pPr>
    <w:rPr>
      <w:rFonts w:ascii="黑体" w:hAnsi="黑体" w:eastAsia="黑体"/>
      <w:sz w:val="32"/>
      <w:szCs w:val="32"/>
    </w:rPr>
  </w:style>
  <w:style w:type="paragraph" w:customStyle="1" w:styleId="11">
    <w:name w:val="Table Text"/>
    <w:basedOn w:val="1"/>
    <w:semiHidden/>
    <w:qFormat/>
    <w:uiPriority w:val="0"/>
    <w:rPr>
      <w:rFonts w:ascii="宋体" w:hAnsi="宋体" w:eastAsia="宋体" w:cs="宋体"/>
      <w:sz w:val="20"/>
      <w:szCs w:val="20"/>
      <w:lang w:val="en-US" w:eastAsia="en-US" w:bidi="ar-SA"/>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4">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5">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6">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7">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8">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19">
    <w:name w:val="表内文字"/>
    <w:basedOn w:val="6"/>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3358</Words>
  <Characters>3729</Characters>
  <Lines>0</Lines>
  <Paragraphs>0</Paragraphs>
  <TotalTime>2</TotalTime>
  <ScaleCrop>false</ScaleCrop>
  <LinksUpToDate>false</LinksUpToDate>
  <CharactersWithSpaces>3763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2024-12-21T07:14:52Z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eyJoZGlkIjoiZDAyN2NlOGVhYmMyMmY2ZjU2NWRlMjUwNzMzOGE0MTYiLCJ1c2VySWQiOiIzNzk0NTE5ODMifQ==</vt:lpwstr>
  </property>
</Properties>
</file>