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江西昌泰高速公路有限责任公司庐陵服务区东加油站项目安全条件评价报告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7</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val="en-US" w:eastAsia="zh-CN"/>
              </w:rPr>
              <w:t>赵云锋</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2025.5.29</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1D764351">
            <w:pPr>
              <w:spacing w:line="24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eastAsia="zh-CN"/>
              </w:rPr>
              <w:t>江西昌泰高速公路有限责任公司</w:t>
            </w:r>
            <w:r>
              <w:rPr>
                <w:rFonts w:hint="eastAsia" w:ascii="宋体" w:hAnsi="宋体" w:eastAsia="宋体" w:cs="宋体"/>
                <w:color w:val="auto"/>
                <w:sz w:val="21"/>
                <w:szCs w:val="21"/>
                <w:highlight w:val="none"/>
                <w:lang w:val="en-US" w:eastAsia="zh-CN"/>
              </w:rPr>
              <w:t>成立于2003年8月18日，企业类型：有限责任公司（国有控股）,法定代表人翁广良</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统一社会信用代码：91360800754203787W。经营范围为：许可项目：公路管理与养护，住宿服务，餐饮服务（依法须经批准的项目，经相关部门批准后在许可有效期内方可开展经营活动，具体经营项目和许可期限以相关部门批准文件或许可证件为准）一般项目：停车场服务，普通货物仓储服务（不含危险化学品等需许可审批的项目），机动车修理和维护，装卸搬运，业务培训（不含教育培训、职业技能培训等需取得许可的培训），特种作业人员安全技术培训，会议及展览服务，商业综合体管理服务，柜台、摊位出租，非居住房地产租赁，租赁服务（不含许可类租赁服务），集中式快速充电站，机动车充电销售，智能输配电及控制设备销售，新能源汽车废旧动力蓄电池回收及梯次利用（不含危险废物经营），新能源汽车换电设施销售，充电桩销售，电动汽车充电基础设施运营（除依法须经批准的项目外，凭营业执照依法自主开展经营活动）。</w:t>
            </w:r>
            <w:r>
              <w:rPr>
                <w:rFonts w:hint="eastAsia" w:ascii="宋体" w:hAnsi="宋体" w:eastAsia="宋体" w:cs="宋体"/>
                <w:sz w:val="21"/>
                <w:szCs w:val="21"/>
              </w:rPr>
              <w:t>为满足运营服务的需求，同时迎合</w:t>
            </w:r>
            <w:r>
              <w:rPr>
                <w:rFonts w:hint="eastAsia" w:ascii="宋体" w:hAnsi="宋体" w:eastAsia="宋体" w:cs="宋体"/>
                <w:color w:val="000000"/>
                <w:sz w:val="21"/>
                <w:szCs w:val="21"/>
              </w:rPr>
              <w:t>樟吉高速</w:t>
            </w:r>
            <w:r>
              <w:rPr>
                <w:rFonts w:hint="eastAsia" w:ascii="宋体" w:hAnsi="宋体" w:eastAsia="宋体" w:cs="宋体"/>
                <w:sz w:val="21"/>
                <w:szCs w:val="21"/>
              </w:rPr>
              <w:t>日益增长的车辆，江西昌泰高速公路有限责任公司拟在</w:t>
            </w:r>
            <w:r>
              <w:rPr>
                <w:rFonts w:hint="eastAsia" w:ascii="宋体" w:hAnsi="宋体" w:eastAsia="宋体" w:cs="宋体"/>
                <w:color w:val="auto"/>
                <w:sz w:val="21"/>
                <w:szCs w:val="21"/>
                <w:highlight w:val="none"/>
                <w:lang w:eastAsia="zh-CN"/>
              </w:rPr>
              <w:t>江西省吉安市吉州区樟吉高速K99+100米处</w:t>
            </w:r>
            <w:r>
              <w:rPr>
                <w:rFonts w:hint="eastAsia" w:ascii="宋体" w:hAnsi="宋体" w:eastAsia="宋体" w:cs="宋体"/>
                <w:sz w:val="21"/>
                <w:szCs w:val="21"/>
              </w:rPr>
              <w:t>新建加油站</w:t>
            </w:r>
            <w:r>
              <w:rPr>
                <w:rFonts w:hint="eastAsia" w:ascii="宋体" w:hAnsi="宋体" w:eastAsia="宋体" w:cs="宋体"/>
                <w:color w:val="auto"/>
                <w:sz w:val="21"/>
                <w:szCs w:val="21"/>
                <w:highlight w:val="none"/>
              </w:rPr>
              <w:t>，该站位于</w:t>
            </w:r>
            <w:r>
              <w:rPr>
                <w:rFonts w:hint="eastAsia" w:ascii="宋体" w:hAnsi="宋体" w:eastAsia="宋体" w:cs="宋体"/>
                <w:color w:val="auto"/>
                <w:sz w:val="21"/>
                <w:szCs w:val="21"/>
                <w:highlight w:val="none"/>
                <w:lang w:eastAsia="zh-CN"/>
              </w:rPr>
              <w:t>江西省吉安市吉州区樟吉高速K99+100米处。</w:t>
            </w:r>
          </w:p>
          <w:p w14:paraId="67424919">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该站主要经营0#柴油、92#汽油、95#汽油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站内</w:t>
            </w:r>
            <w:r>
              <w:rPr>
                <w:rFonts w:hint="eastAsia" w:ascii="宋体" w:hAnsi="宋体" w:eastAsia="宋体" w:cs="宋体"/>
                <w:color w:val="auto"/>
                <w:sz w:val="21"/>
                <w:szCs w:val="21"/>
                <w:highlight w:val="none"/>
                <w:lang w:val="en-US" w:eastAsia="zh-CN"/>
              </w:rPr>
              <w:t>拟</w:t>
            </w:r>
            <w:r>
              <w:rPr>
                <w:rFonts w:hint="eastAsia" w:ascii="宋体" w:hAnsi="宋体" w:eastAsia="宋体" w:cs="宋体"/>
                <w:color w:val="auto"/>
                <w:sz w:val="21"/>
                <w:szCs w:val="21"/>
                <w:highlight w:val="none"/>
              </w:rPr>
              <w:t>设</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台油罐，分别为容积</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0#柴油</w:t>
            </w:r>
            <w:r>
              <w:rPr>
                <w:rFonts w:hint="eastAsia" w:ascii="宋体" w:hAnsi="宋体" w:eastAsia="宋体" w:cs="宋体"/>
                <w:color w:val="auto"/>
                <w:sz w:val="21"/>
                <w:szCs w:val="21"/>
                <w:highlight w:val="none"/>
                <w:lang w:val="en-US" w:eastAsia="zh-CN"/>
              </w:rPr>
              <w:t>埋地双层储罐1</w:t>
            </w:r>
            <w:r>
              <w:rPr>
                <w:rFonts w:hint="eastAsia" w:ascii="宋体" w:hAnsi="宋体" w:eastAsia="宋体" w:cs="宋体"/>
                <w:color w:val="auto"/>
                <w:sz w:val="21"/>
                <w:szCs w:val="21"/>
                <w:highlight w:val="none"/>
              </w:rPr>
              <w:t>台、容积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lang w:val="en-US" w:eastAsia="zh-CN"/>
              </w:rPr>
              <w:t>95</w:t>
            </w:r>
            <w:r>
              <w:rPr>
                <w:rFonts w:hint="eastAsia" w:ascii="宋体" w:hAnsi="宋体" w:eastAsia="宋体" w:cs="宋体"/>
                <w:color w:val="auto"/>
                <w:sz w:val="21"/>
                <w:szCs w:val="21"/>
                <w:highlight w:val="none"/>
              </w:rPr>
              <w:t>#汽油</w:t>
            </w:r>
            <w:r>
              <w:rPr>
                <w:rFonts w:hint="eastAsia" w:ascii="宋体" w:hAnsi="宋体" w:eastAsia="宋体" w:cs="宋体"/>
                <w:color w:val="auto"/>
                <w:sz w:val="21"/>
                <w:szCs w:val="21"/>
                <w:highlight w:val="none"/>
                <w:lang w:val="en-US" w:eastAsia="zh-CN"/>
              </w:rPr>
              <w:t>埋地双层储罐2</w:t>
            </w:r>
            <w:r>
              <w:rPr>
                <w:rFonts w:hint="eastAsia" w:ascii="宋体" w:hAnsi="宋体" w:eastAsia="宋体" w:cs="宋体"/>
                <w:color w:val="auto"/>
                <w:sz w:val="21"/>
                <w:szCs w:val="21"/>
                <w:highlight w:val="none"/>
              </w:rPr>
              <w:t>台、容积</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lang w:val="en-US" w:eastAsia="zh-CN"/>
              </w:rPr>
              <w:t>92</w:t>
            </w:r>
            <w:r>
              <w:rPr>
                <w:rFonts w:hint="eastAsia" w:ascii="宋体" w:hAnsi="宋体" w:eastAsia="宋体" w:cs="宋体"/>
                <w:color w:val="auto"/>
                <w:sz w:val="21"/>
                <w:szCs w:val="21"/>
                <w:highlight w:val="none"/>
              </w:rPr>
              <w:t>#汽油</w:t>
            </w:r>
            <w:r>
              <w:rPr>
                <w:rFonts w:hint="eastAsia" w:ascii="宋体" w:hAnsi="宋体" w:eastAsia="宋体" w:cs="宋体"/>
                <w:color w:val="auto"/>
                <w:sz w:val="21"/>
                <w:szCs w:val="21"/>
                <w:highlight w:val="none"/>
                <w:lang w:val="en-US" w:eastAsia="zh-CN"/>
              </w:rPr>
              <w:t>埋地双层储罐2</w:t>
            </w:r>
            <w:r>
              <w:rPr>
                <w:rFonts w:hint="eastAsia" w:ascii="宋体" w:hAnsi="宋体" w:eastAsia="宋体" w:cs="宋体"/>
                <w:color w:val="auto"/>
                <w:sz w:val="21"/>
                <w:szCs w:val="21"/>
                <w:highlight w:val="none"/>
              </w:rPr>
              <w:t>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最大存储量为</w:t>
            </w:r>
            <w:r>
              <w:rPr>
                <w:rFonts w:hint="eastAsia" w:ascii="宋体" w:hAnsi="宋体" w:eastAsia="宋体" w:cs="宋体"/>
                <w:color w:val="auto"/>
                <w:sz w:val="21"/>
                <w:szCs w:val="21"/>
                <w:highlight w:val="none"/>
                <w:lang w:val="en-US" w:eastAsia="zh-CN"/>
              </w:rPr>
              <w:t>230m³</w:t>
            </w:r>
            <w:r>
              <w:rPr>
                <w:rFonts w:hint="eastAsia" w:ascii="宋体" w:hAnsi="宋体" w:eastAsia="宋体" w:cs="宋体"/>
                <w:color w:val="auto"/>
                <w:sz w:val="21"/>
                <w:szCs w:val="21"/>
                <w:highlight w:val="none"/>
              </w:rPr>
              <w:t>，实际油品折算总容量为</w:t>
            </w:r>
            <w:r>
              <w:rPr>
                <w:rFonts w:hint="eastAsia" w:ascii="宋体" w:hAnsi="宋体" w:eastAsia="宋体" w:cs="宋体"/>
                <w:color w:val="auto"/>
                <w:sz w:val="21"/>
                <w:szCs w:val="21"/>
                <w:highlight w:val="none"/>
                <w:lang w:val="en-US" w:eastAsia="zh-CN"/>
              </w:rPr>
              <w:t>205</w:t>
            </w: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（柴油折半），属于</w:t>
            </w:r>
            <w:r>
              <w:rPr>
                <w:rFonts w:hint="eastAsia" w:ascii="宋体" w:hAnsi="宋体" w:eastAsia="宋体" w:cs="宋体"/>
                <w:color w:val="auto"/>
                <w:sz w:val="21"/>
                <w:szCs w:val="21"/>
                <w:highlight w:val="none"/>
                <w:lang w:val="en-US" w:eastAsia="zh-CN"/>
              </w:rPr>
              <w:t>一级</w:t>
            </w:r>
            <w:r>
              <w:rPr>
                <w:rFonts w:hint="eastAsia" w:ascii="宋体" w:hAnsi="宋体" w:eastAsia="宋体" w:cs="宋体"/>
                <w:color w:val="auto"/>
                <w:sz w:val="21"/>
                <w:szCs w:val="21"/>
                <w:highlight w:val="none"/>
              </w:rPr>
              <w:t>加油站。</w:t>
            </w:r>
          </w:p>
          <w:p w14:paraId="26302746">
            <w:pPr>
              <w:spacing w:line="240" w:lineRule="auto"/>
              <w:ind w:firstLine="560"/>
              <w:rPr>
                <w:rFonts w:hint="eastAsia"/>
                <w:snapToGrid w:val="0"/>
              </w:rPr>
            </w:pPr>
            <w:r>
              <w:rPr>
                <w:rFonts w:hint="eastAsia" w:ascii="宋体" w:hAnsi="宋体" w:eastAsia="宋体" w:cs="宋体"/>
                <w:sz w:val="21"/>
                <w:szCs w:val="21"/>
              </w:rPr>
              <w:t>为满足运营服务的需求，同时迎合</w:t>
            </w:r>
            <w:r>
              <w:rPr>
                <w:rFonts w:hint="eastAsia" w:ascii="宋体" w:hAnsi="宋体" w:eastAsia="宋体" w:cs="宋体"/>
                <w:color w:val="000000"/>
                <w:sz w:val="21"/>
                <w:szCs w:val="21"/>
              </w:rPr>
              <w:t>樟吉高速</w:t>
            </w:r>
            <w:r>
              <w:rPr>
                <w:rFonts w:hint="eastAsia" w:ascii="宋体" w:hAnsi="宋体" w:eastAsia="宋体" w:cs="宋体"/>
                <w:sz w:val="21"/>
                <w:szCs w:val="21"/>
              </w:rPr>
              <w:t>日益增长的车辆，江西昌泰高速公路有限责任公司拟在</w:t>
            </w:r>
            <w:r>
              <w:rPr>
                <w:rFonts w:hint="eastAsia" w:ascii="宋体" w:hAnsi="宋体" w:eastAsia="宋体" w:cs="宋体"/>
                <w:color w:val="auto"/>
                <w:sz w:val="21"/>
                <w:szCs w:val="21"/>
                <w:highlight w:val="none"/>
                <w:lang w:eastAsia="zh-CN"/>
              </w:rPr>
              <w:t>江西省吉安市吉州区樟吉高速K99+100米处</w:t>
            </w:r>
            <w:r>
              <w:rPr>
                <w:rFonts w:hint="eastAsia" w:ascii="宋体" w:hAnsi="宋体" w:eastAsia="宋体" w:cs="宋体"/>
                <w:sz w:val="21"/>
                <w:szCs w:val="21"/>
              </w:rPr>
              <w:t>新建加油站，</w:t>
            </w:r>
            <w:r>
              <w:rPr>
                <w:rFonts w:hint="eastAsia" w:ascii="宋体" w:hAnsi="宋体" w:eastAsia="宋体" w:cs="宋体"/>
                <w:color w:val="auto"/>
                <w:sz w:val="21"/>
                <w:szCs w:val="21"/>
                <w:highlight w:val="none"/>
                <w:lang w:eastAsia="zh-CN"/>
              </w:rPr>
              <w:t>江西昌泰高速公路有限责任公司</w:t>
            </w:r>
            <w:r>
              <w:rPr>
                <w:rFonts w:hint="eastAsia" w:ascii="宋体" w:hAnsi="宋体" w:eastAsia="宋体" w:cs="宋体"/>
                <w:color w:val="auto"/>
                <w:sz w:val="21"/>
                <w:szCs w:val="21"/>
                <w:highlight w:val="none"/>
                <w:lang w:val="en-US" w:eastAsia="zh-CN"/>
              </w:rPr>
              <w:t>于2023年9月22日取得由吉安市吉州区行政审批局出具的《江西省企业投资项目备案通知书》，项目统一代码为：2309-360802-04-01-873264。</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CFABCC0">
            <w:pPr>
              <w:pStyle w:val="16"/>
              <w:ind w:left="0" w:leftChars="0" w:firstLine="0" w:firstLineChars="0"/>
              <w:jc w:val="both"/>
              <w:rPr>
                <w:rFonts w:hint="default" w:eastAsia="宋体"/>
                <w:lang w:val="en-US" w:eastAsia="zh-CN"/>
              </w:rPr>
            </w:pPr>
            <w:r>
              <w:rPr>
                <w:rFonts w:hint="eastAsia"/>
                <w:lang w:eastAsia="zh-CN"/>
              </w:rPr>
              <w:t>“</w:t>
            </w:r>
            <w:r>
              <w:rPr>
                <w:rFonts w:hint="eastAsia"/>
                <w:lang w:val="en-US" w:eastAsia="zh-CN"/>
              </w:rPr>
              <w:t>略”</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color w:val="auto"/>
          <w:highlight w:val="none"/>
          <w:lang w:val="en-US" w:eastAsia="zh-CN"/>
        </w:rPr>
        <w:drawing>
          <wp:inline distT="0" distB="0" distL="114300" distR="114300">
            <wp:extent cx="6018530" cy="5363845"/>
            <wp:effectExtent l="0" t="0" r="1270" b="8255"/>
            <wp:docPr id="34" name="图片 5" descr="2a691f585f54db312fffea188d65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2a691f585f54db312fffea188d652b2"/>
                    <pic:cNvPicPr>
                      <a:picLocks noChangeAspect="1"/>
                    </pic:cNvPicPr>
                  </pic:nvPicPr>
                  <pic:blipFill>
                    <a:blip r:embed="rId4"/>
                    <a:stretch>
                      <a:fillRect/>
                    </a:stretch>
                  </pic:blipFill>
                  <pic:spPr>
                    <a:xfrm>
                      <a:off x="0" y="0"/>
                      <a:ext cx="6018530" cy="5363845"/>
                    </a:xfrm>
                    <a:prstGeom prst="rect">
                      <a:avLst/>
                    </a:prstGeom>
                    <a:noFill/>
                    <a:ln>
                      <a:noFill/>
                    </a:ln>
                  </pic:spPr>
                </pic:pic>
              </a:graphicData>
            </a:graphic>
          </wp:inline>
        </w:drawing>
      </w:r>
    </w:p>
    <w:p w14:paraId="523DCE7C">
      <w:pPr>
        <w:rPr>
          <w:rFonts w:hint="eastAsia"/>
          <w:lang w:eastAsia="zh-CN"/>
        </w:rPr>
      </w:pPr>
      <w:r>
        <w:rPr>
          <w:rFonts w:hint="eastAsia"/>
          <w:lang w:eastAsia="zh-CN"/>
        </w:rPr>
        <w:br w:type="page"/>
      </w:r>
    </w:p>
    <w:p w14:paraId="40DA9C56">
      <w:pPr>
        <w:pStyle w:val="21"/>
        <w:ind w:left="0" w:leftChars="0" w:firstLine="0" w:firstLineChars="0"/>
        <w:jc w:val="center"/>
        <w:rPr>
          <w:rFonts w:hint="eastAsia"/>
          <w:lang w:eastAsia="zh-CN"/>
        </w:rPr>
      </w:pPr>
      <w:r>
        <w:rPr>
          <w:rFonts w:hint="eastAsia"/>
          <w:lang w:eastAsia="zh-CN"/>
        </w:rPr>
        <w:drawing>
          <wp:inline distT="0" distB="0" distL="114300" distR="114300">
            <wp:extent cx="7682865" cy="5760085"/>
            <wp:effectExtent l="0" t="0" r="5715" b="635"/>
            <wp:docPr id="35" name="图片 35" descr="98d50f47086ead63b2f45fb0ec36f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8d50f47086ead63b2f45fb0ec36fe03"/>
                    <pic:cNvPicPr>
                      <a:picLocks noChangeAspect="1"/>
                    </pic:cNvPicPr>
                  </pic:nvPicPr>
                  <pic:blipFill>
                    <a:blip r:embed="rId5"/>
                    <a:stretch>
                      <a:fillRect/>
                    </a:stretch>
                  </pic:blipFill>
                  <pic:spPr>
                    <a:xfrm rot="5400000">
                      <a:off x="0" y="0"/>
                      <a:ext cx="7682865" cy="5760085"/>
                    </a:xfrm>
                    <a:prstGeom prst="rect">
                      <a:avLst/>
                    </a:prstGeom>
                  </pic:spPr>
                </pic:pic>
              </a:graphicData>
            </a:graphic>
          </wp:inline>
        </w:drawing>
      </w:r>
    </w:p>
    <w:p w14:paraId="3EC18341">
      <w:pPr>
        <w:rPr>
          <w:rFonts w:hint="eastAsia"/>
          <w:lang w:eastAsia="zh-CN"/>
        </w:rPr>
      </w:pPr>
      <w:r>
        <w:rPr>
          <w:rFonts w:hint="eastAsia"/>
          <w:lang w:eastAsia="zh-CN"/>
        </w:rPr>
        <w:br w:type="page"/>
      </w:r>
      <w:r>
        <w:rPr>
          <w:rFonts w:hint="eastAsia"/>
          <w:lang w:eastAsia="zh-CN"/>
        </w:rPr>
        <w:drawing>
          <wp:inline distT="0" distB="0" distL="114300" distR="114300">
            <wp:extent cx="7682865" cy="5760085"/>
            <wp:effectExtent l="0" t="0" r="5715" b="635"/>
            <wp:docPr id="36" name="图片 36" descr="e51a512a8ee26bb1ab8e6e0abf199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51a512a8ee26bb1ab8e6e0abf1990a6"/>
                    <pic:cNvPicPr>
                      <a:picLocks noChangeAspect="1"/>
                    </pic:cNvPicPr>
                  </pic:nvPicPr>
                  <pic:blipFill>
                    <a:blip r:embed="rId6"/>
                    <a:stretch>
                      <a:fillRect/>
                    </a:stretch>
                  </pic:blipFill>
                  <pic:spPr>
                    <a:xfrm rot="5400000">
                      <a:off x="0" y="0"/>
                      <a:ext cx="7682865" cy="5760085"/>
                    </a:xfrm>
                    <a:prstGeom prst="rect">
                      <a:avLst/>
                    </a:prstGeom>
                  </pic:spPr>
                </pic:pic>
              </a:graphicData>
            </a:graphic>
          </wp:inline>
        </w:drawing>
      </w:r>
    </w:p>
    <w:p w14:paraId="3CC18563">
      <w:pPr>
        <w:pStyle w:val="7"/>
        <w:rPr>
          <w:rFonts w:hint="eastAsia"/>
          <w:lang w:eastAsia="zh-CN"/>
        </w:rPr>
      </w:pPr>
      <w:r>
        <w:rPr>
          <w:rFonts w:hint="eastAsia"/>
          <w:lang w:eastAsia="zh-CN"/>
        </w:rPr>
        <w:drawing>
          <wp:inline distT="0" distB="0" distL="114300" distR="114300">
            <wp:extent cx="8608060" cy="5760085"/>
            <wp:effectExtent l="0" t="0" r="5715" b="2540"/>
            <wp:docPr id="37" name="图片 37" descr="fa6b637aa141734f5cbfd7996950e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a6b637aa141734f5cbfd7996950e872"/>
                    <pic:cNvPicPr>
                      <a:picLocks noChangeAspect="1"/>
                    </pic:cNvPicPr>
                  </pic:nvPicPr>
                  <pic:blipFill>
                    <a:blip r:embed="rId7"/>
                    <a:srcRect t="4488" b="6258"/>
                    <a:stretch>
                      <a:fillRect/>
                    </a:stretch>
                  </pic:blipFill>
                  <pic:spPr>
                    <a:xfrm rot="5400000">
                      <a:off x="0" y="0"/>
                      <a:ext cx="8608060" cy="5760085"/>
                    </a:xfrm>
                    <a:prstGeom prst="rect">
                      <a:avLst/>
                    </a:prstGeom>
                  </pic:spPr>
                </pic:pic>
              </a:graphicData>
            </a:graphic>
          </wp:inline>
        </w:drawing>
      </w:r>
    </w:p>
    <w:p w14:paraId="2B1DFF98">
      <w:pPr>
        <w:rPr>
          <w:rFonts w:hint="eastAsia"/>
          <w:lang w:eastAsia="zh-CN"/>
        </w:rPr>
      </w:pPr>
      <w:r>
        <w:rPr>
          <w:rFonts w:hint="eastAsia"/>
          <w:lang w:eastAsia="zh-CN"/>
        </w:rPr>
        <w:drawing>
          <wp:inline distT="0" distB="0" distL="114300" distR="114300">
            <wp:extent cx="8651240" cy="5760085"/>
            <wp:effectExtent l="0" t="0" r="5715" b="10160"/>
            <wp:docPr id="38" name="图片 38" descr="603395cf1937fe4e5ed0eddfc2cc3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03395cf1937fe4e5ed0eddfc2cc36fc"/>
                    <pic:cNvPicPr>
                      <a:picLocks noChangeAspect="1"/>
                    </pic:cNvPicPr>
                  </pic:nvPicPr>
                  <pic:blipFill>
                    <a:blip r:embed="rId8"/>
                    <a:srcRect t="6322" r="1073" b="5824"/>
                    <a:stretch>
                      <a:fillRect/>
                    </a:stretch>
                  </pic:blipFill>
                  <pic:spPr>
                    <a:xfrm rot="5400000">
                      <a:off x="0" y="0"/>
                      <a:ext cx="8651240" cy="5760085"/>
                    </a:xfrm>
                    <a:prstGeom prst="rect">
                      <a:avLst/>
                    </a:prstGeom>
                  </pic:spPr>
                </pic:pic>
              </a:graphicData>
            </a:graphic>
          </wp:inline>
        </w:drawing>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AE612F9"/>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3E74820"/>
    <w:rsid w:val="64126CC6"/>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897</Words>
  <Characters>1113</Characters>
  <Lines>8</Lines>
  <Paragraphs>2</Paragraphs>
  <TotalTime>8</TotalTime>
  <ScaleCrop>false</ScaleCrop>
  <LinksUpToDate>false</LinksUpToDate>
  <CharactersWithSpaces>1113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2025-08-19T03:51:03Z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A5CBD9F57E434C5D972A82A440F79F16_13</vt:lpwstr>
  </property>
  <property fmtid="{D5CDD505-2E9C-101B-9397-08002B2CF9AE}" pid="4" name="KSOTemplateDocerSaveRecord">
    <vt:lpwstr>eyJoZGlkIjoiNDgzMjdiZTZhYWEwMDUyMzMwMzdhZWM2ZmNjMGMzMDkiLCJ1c2VySWQiOiI1NzcyNjAwMzgifQ==</vt:lpwstr>
  </property>
</Properties>
</file>