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20F8C">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5183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C15BF70">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4CB966CA">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sz w:val="24"/>
                <w:szCs w:val="22"/>
                <w:lang w:eastAsia="zh-CN"/>
              </w:rPr>
              <w:t>江西永昌工业气体有限公司经营危险化学品安全现状评价</w:t>
            </w:r>
            <w:r>
              <w:rPr>
                <w:rFonts w:hint="eastAsia" w:ascii="宋体" w:hAnsi="宋体"/>
                <w:sz w:val="24"/>
                <w:szCs w:val="22"/>
              </w:rPr>
              <w:t>报告</w:t>
            </w:r>
          </w:p>
        </w:tc>
      </w:tr>
      <w:tr w14:paraId="61D7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743347FC">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176108F4">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7</w:t>
            </w:r>
            <w:r>
              <w:rPr>
                <w:rFonts w:hint="eastAsia" w:ascii="宋体" w:hAnsi="宋体" w:cs="宋体"/>
                <w:sz w:val="24"/>
              </w:rPr>
              <w:t>月</w:t>
            </w:r>
          </w:p>
        </w:tc>
      </w:tr>
      <w:tr w14:paraId="5FF1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D192493">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7FA9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61548AC">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p>
        </w:tc>
        <w:tc>
          <w:tcPr>
            <w:tcW w:w="1237" w:type="dxa"/>
            <w:tcBorders>
              <w:tl2br w:val="nil"/>
              <w:tr2bl w:val="nil"/>
            </w:tcBorders>
            <w:shd w:val="clear" w:color="auto" w:fill="FFFFFF"/>
            <w:vAlign w:val="center"/>
          </w:tcPr>
          <w:p w14:paraId="4FA9DF6C">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F5E5EE4">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AC34679">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从业号</w:t>
            </w:r>
          </w:p>
        </w:tc>
      </w:tr>
      <w:tr w14:paraId="062A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6CD236A4">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21DFA60">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auto"/>
                <w:sz w:val="24"/>
                <w:szCs w:val="24"/>
              </w:rPr>
              <w:t>徐顺星</w:t>
            </w:r>
          </w:p>
        </w:tc>
        <w:tc>
          <w:tcPr>
            <w:tcW w:w="4803" w:type="dxa"/>
            <w:tcBorders>
              <w:tl2br w:val="nil"/>
              <w:tr2bl w:val="nil"/>
            </w:tcBorders>
            <w:shd w:val="clear" w:color="auto" w:fill="FFFFFF"/>
            <w:vAlign w:val="center"/>
          </w:tcPr>
          <w:p w14:paraId="6D7710CD">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auto"/>
                <w:sz w:val="24"/>
                <w:szCs w:val="24"/>
              </w:rPr>
              <w:t>S011041000110192002229</w:t>
            </w:r>
          </w:p>
        </w:tc>
        <w:tc>
          <w:tcPr>
            <w:tcW w:w="2115" w:type="dxa"/>
            <w:tcBorders>
              <w:tl2br w:val="nil"/>
              <w:tr2bl w:val="nil"/>
            </w:tcBorders>
            <w:shd w:val="clear" w:color="auto" w:fill="FFFFFF"/>
            <w:vAlign w:val="center"/>
          </w:tcPr>
          <w:p w14:paraId="6357CF88">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auto"/>
                <w:sz w:val="24"/>
                <w:szCs w:val="24"/>
              </w:rPr>
              <w:t>018803</w:t>
            </w:r>
          </w:p>
        </w:tc>
      </w:tr>
      <w:tr w14:paraId="638E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7EA9069B">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64DDA0B8">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赵云峰</w:t>
            </w:r>
          </w:p>
        </w:tc>
        <w:tc>
          <w:tcPr>
            <w:tcW w:w="4803" w:type="dxa"/>
            <w:tcBorders>
              <w:tl2br w:val="nil"/>
              <w:tr2bl w:val="nil"/>
            </w:tcBorders>
            <w:shd w:val="clear" w:color="auto" w:fill="FFFFFF"/>
            <w:vAlign w:val="center"/>
          </w:tcPr>
          <w:p w14:paraId="42448743">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S011037000110191000735</w:t>
            </w:r>
          </w:p>
        </w:tc>
        <w:tc>
          <w:tcPr>
            <w:tcW w:w="2115" w:type="dxa"/>
            <w:tcBorders>
              <w:tl2br w:val="nil"/>
              <w:tr2bl w:val="nil"/>
            </w:tcBorders>
            <w:shd w:val="clear" w:color="auto" w:fill="FFFFFF"/>
            <w:vAlign w:val="center"/>
          </w:tcPr>
          <w:p w14:paraId="0BA6B83B">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030095</w:t>
            </w:r>
          </w:p>
        </w:tc>
      </w:tr>
      <w:tr w14:paraId="4EC8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828C2F6">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p>
        </w:tc>
        <w:tc>
          <w:tcPr>
            <w:tcW w:w="1237" w:type="dxa"/>
            <w:tcBorders>
              <w:tl2br w:val="nil"/>
              <w:tr2bl w:val="nil"/>
            </w:tcBorders>
            <w:shd w:val="clear" w:color="auto" w:fill="FFFFFF"/>
            <w:vAlign w:val="center"/>
          </w:tcPr>
          <w:p w14:paraId="522768C7">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3149EEE5">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1100000000302946</w:t>
            </w:r>
          </w:p>
        </w:tc>
        <w:tc>
          <w:tcPr>
            <w:tcW w:w="2115" w:type="dxa"/>
            <w:tcBorders>
              <w:tl2br w:val="nil"/>
              <w:tr2bl w:val="nil"/>
            </w:tcBorders>
            <w:shd w:val="clear" w:color="auto" w:fill="FFFFFF"/>
            <w:vAlign w:val="center"/>
          </w:tcPr>
          <w:p w14:paraId="69C02C5C">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020045</w:t>
            </w:r>
          </w:p>
        </w:tc>
      </w:tr>
      <w:tr w14:paraId="748F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ADA39FB">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p>
        </w:tc>
        <w:tc>
          <w:tcPr>
            <w:tcW w:w="1237" w:type="dxa"/>
            <w:tcBorders>
              <w:tl2br w:val="nil"/>
              <w:tr2bl w:val="nil"/>
            </w:tcBorders>
            <w:shd w:val="clear" w:color="auto" w:fill="FFFFFF"/>
            <w:vAlign w:val="center"/>
          </w:tcPr>
          <w:p w14:paraId="07F0677A">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舒斌</w:t>
            </w:r>
          </w:p>
        </w:tc>
        <w:tc>
          <w:tcPr>
            <w:tcW w:w="4803" w:type="dxa"/>
            <w:tcBorders>
              <w:tl2br w:val="nil"/>
              <w:tr2bl w:val="nil"/>
            </w:tcBorders>
            <w:shd w:val="clear" w:color="auto" w:fill="FFFFFF"/>
            <w:vAlign w:val="center"/>
          </w:tcPr>
          <w:p w14:paraId="6946F14C">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0800000000205889</w:t>
            </w:r>
          </w:p>
        </w:tc>
        <w:tc>
          <w:tcPr>
            <w:tcW w:w="2115" w:type="dxa"/>
            <w:tcBorders>
              <w:tl2br w:val="nil"/>
              <w:tr2bl w:val="nil"/>
            </w:tcBorders>
            <w:shd w:val="clear" w:color="auto" w:fill="FFFFFF"/>
            <w:vAlign w:val="center"/>
          </w:tcPr>
          <w:p w14:paraId="5A7B1D9F">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lang w:val="en-US" w:eastAsia="zh-CN"/>
              </w:rPr>
              <w:t>013031</w:t>
            </w:r>
          </w:p>
        </w:tc>
      </w:tr>
      <w:tr w14:paraId="6F99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8A1EBE7">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p>
        </w:tc>
        <w:tc>
          <w:tcPr>
            <w:tcW w:w="1237" w:type="dxa"/>
            <w:tcBorders>
              <w:tl2br w:val="nil"/>
              <w:tr2bl w:val="nil"/>
            </w:tcBorders>
            <w:shd w:val="clear" w:color="auto" w:fill="FFFFFF"/>
            <w:vAlign w:val="center"/>
          </w:tcPr>
          <w:p w14:paraId="0D26B7FD">
            <w:pPr>
              <w:spacing w:before="190" w:beforeLines="50" w:after="190" w:afterLines="50" w:line="240" w:lineRule="auto"/>
              <w:ind w:left="0" w:leftChars="0" w:firstLine="0" w:firstLineChars="0"/>
              <w:jc w:val="center"/>
              <w:rPr>
                <w:rFonts w:ascii="宋体" w:hAnsi="宋体" w:cs="宋体"/>
                <w:sz w:val="24"/>
              </w:rPr>
            </w:pPr>
            <w:r>
              <w:rPr>
                <w:rFonts w:hint="eastAsia" w:cs="宋体"/>
                <w:color w:val="000000"/>
                <w:sz w:val="24"/>
                <w:szCs w:val="24"/>
                <w:lang w:val="en-US" w:eastAsia="zh-CN"/>
              </w:rPr>
              <w:t>乔贯德</w:t>
            </w:r>
          </w:p>
        </w:tc>
        <w:tc>
          <w:tcPr>
            <w:tcW w:w="4803" w:type="dxa"/>
            <w:tcBorders>
              <w:tl2br w:val="nil"/>
              <w:tr2bl w:val="nil"/>
            </w:tcBorders>
            <w:shd w:val="clear" w:color="auto" w:fill="FFFFFF"/>
            <w:vAlign w:val="center"/>
          </w:tcPr>
          <w:p w14:paraId="7BF5D069">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rPr>
              <w:t>1700000000300087</w:t>
            </w:r>
          </w:p>
        </w:tc>
        <w:tc>
          <w:tcPr>
            <w:tcW w:w="2115" w:type="dxa"/>
            <w:tcBorders>
              <w:tl2br w:val="nil"/>
              <w:tr2bl w:val="nil"/>
            </w:tcBorders>
            <w:shd w:val="clear" w:color="auto" w:fill="FFFFFF"/>
            <w:vAlign w:val="center"/>
          </w:tcPr>
          <w:p w14:paraId="335FE290">
            <w:pPr>
              <w:spacing w:before="190" w:beforeLines="50" w:after="190" w:afterLines="50" w:line="240" w:lineRule="auto"/>
              <w:ind w:left="0" w:leftChars="0" w:firstLine="0" w:firstLineChars="0"/>
              <w:jc w:val="center"/>
              <w:rPr>
                <w:rFonts w:ascii="宋体" w:hAnsi="宋体" w:cs="宋体"/>
                <w:sz w:val="24"/>
              </w:rPr>
            </w:pPr>
            <w:r>
              <w:rPr>
                <w:rFonts w:hint="eastAsia" w:ascii="宋体" w:hAnsi="宋体" w:eastAsia="宋体" w:cs="宋体"/>
                <w:color w:val="000000"/>
                <w:sz w:val="24"/>
                <w:szCs w:val="24"/>
              </w:rPr>
              <w:t>030797</w:t>
            </w:r>
          </w:p>
        </w:tc>
      </w:tr>
      <w:tr w14:paraId="7D0B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003B0284">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415B5CF0">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w:t>
            </w:r>
          </w:p>
        </w:tc>
      </w:tr>
      <w:tr w14:paraId="7972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CE9530E">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0FB8D98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sz w:val="24"/>
                <w:lang w:val="en-US" w:eastAsia="zh-CN"/>
              </w:rPr>
            </w:pPr>
            <w:r>
              <w:rPr>
                <w:rFonts w:hint="eastAsia" w:ascii="Times New Roman" w:hAnsi="Times New Roman"/>
                <w:sz w:val="24"/>
              </w:rPr>
              <w:t>徐顺星</w:t>
            </w:r>
            <w:r>
              <w:rPr>
                <w:rFonts w:hint="eastAsia"/>
                <w:color w:val="000000"/>
                <w:sz w:val="24"/>
              </w:rPr>
              <w:t>、</w:t>
            </w:r>
            <w:r>
              <w:rPr>
                <w:rFonts w:hint="eastAsia" w:cs="宋体"/>
                <w:color w:val="000000"/>
                <w:sz w:val="24"/>
                <w:szCs w:val="24"/>
                <w:lang w:val="en-US" w:eastAsia="zh-CN"/>
              </w:rPr>
              <w:t>乔贯德</w:t>
            </w:r>
            <w:r>
              <w:rPr>
                <w:rFonts w:hint="eastAsia"/>
                <w:sz w:val="24"/>
              </w:rPr>
              <w:t>202</w:t>
            </w:r>
            <w:r>
              <w:rPr>
                <w:rFonts w:hint="eastAsia"/>
                <w:sz w:val="24"/>
                <w:lang w:val="en-US" w:eastAsia="zh-CN"/>
              </w:rPr>
              <w:t>5.5</w:t>
            </w:r>
            <w:r>
              <w:rPr>
                <w:rFonts w:hint="eastAsia"/>
                <w:sz w:val="24"/>
              </w:rPr>
              <w:t>.</w:t>
            </w:r>
            <w:r>
              <w:rPr>
                <w:rFonts w:hint="eastAsia"/>
                <w:sz w:val="24"/>
                <w:lang w:val="en-US" w:eastAsia="zh-CN"/>
              </w:rPr>
              <w:t>26</w:t>
            </w:r>
          </w:p>
        </w:tc>
      </w:tr>
      <w:tr w14:paraId="5143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4005459B">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566F076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olor w:val="FF0000"/>
                <w:sz w:val="24"/>
                <w:lang w:val="en-US" w:eastAsia="zh-CN"/>
              </w:rPr>
            </w:pPr>
            <w:r>
              <w:rPr>
                <w:rFonts w:hint="eastAsia" w:ascii="Times New Roman" w:hAnsi="Times New Roman"/>
                <w:sz w:val="24"/>
              </w:rPr>
              <w:t>徐顺星</w:t>
            </w:r>
            <w:r>
              <w:rPr>
                <w:rFonts w:hint="eastAsia"/>
                <w:color w:val="000000"/>
                <w:sz w:val="24"/>
              </w:rPr>
              <w:t>、</w:t>
            </w:r>
            <w:r>
              <w:rPr>
                <w:rFonts w:hint="eastAsia" w:cs="宋体"/>
                <w:color w:val="000000"/>
                <w:sz w:val="24"/>
                <w:szCs w:val="24"/>
                <w:lang w:val="en-US" w:eastAsia="zh-CN"/>
              </w:rPr>
              <w:t>乔贯德</w:t>
            </w:r>
            <w:r>
              <w:rPr>
                <w:rFonts w:hint="eastAsia"/>
                <w:sz w:val="24"/>
              </w:rPr>
              <w:t>202</w:t>
            </w:r>
            <w:r>
              <w:rPr>
                <w:rFonts w:hint="eastAsia"/>
                <w:sz w:val="24"/>
                <w:lang w:val="en-US" w:eastAsia="zh-CN"/>
              </w:rPr>
              <w:t>5</w:t>
            </w:r>
            <w:r>
              <w:rPr>
                <w:rFonts w:hint="eastAsia"/>
                <w:sz w:val="24"/>
              </w:rPr>
              <w:t>.</w:t>
            </w:r>
            <w:r>
              <w:rPr>
                <w:rFonts w:hint="eastAsia"/>
                <w:sz w:val="24"/>
                <w:lang w:val="en-US" w:eastAsia="zh-CN"/>
              </w:rPr>
              <w:t>6</w:t>
            </w:r>
            <w:r>
              <w:rPr>
                <w:rFonts w:hint="eastAsia"/>
                <w:sz w:val="24"/>
              </w:rPr>
              <w:t>.</w:t>
            </w:r>
            <w:r>
              <w:rPr>
                <w:rFonts w:hint="eastAsia"/>
                <w:sz w:val="24"/>
                <w:lang w:val="en-US" w:eastAsia="zh-CN"/>
              </w:rPr>
              <w:t>12</w:t>
            </w:r>
          </w:p>
        </w:tc>
      </w:tr>
      <w:tr w14:paraId="402D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5CF8751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2849B55F">
            <w:pPr>
              <w:ind w:firstLine="560"/>
              <w:rPr>
                <w:rFonts w:hint="eastAsia"/>
                <w:snapToGrid w:val="0"/>
                <w:lang w:eastAsia="zh-CN"/>
              </w:rPr>
            </w:pPr>
            <w:r>
              <w:rPr>
                <w:rFonts w:hint="eastAsia"/>
                <w:snapToGrid w:val="0"/>
                <w:lang w:eastAsia="zh-CN"/>
              </w:rPr>
              <w:t xml:space="preserve">江西永昌工业气体有限公司是一家从事气瓶充装及经营的民营企业，成立于2006年10月16日，注册资本120万人民币，法定代表人徐安和，地址位于江西省上饶市婺源县太白镇。 </w:t>
            </w:r>
          </w:p>
          <w:p w14:paraId="66BF45E5">
            <w:pPr>
              <w:ind w:firstLine="560"/>
              <w:rPr>
                <w:rFonts w:hint="eastAsia"/>
                <w:snapToGrid w:val="0"/>
                <w:lang w:eastAsia="zh-CN"/>
              </w:rPr>
            </w:pPr>
            <w:r>
              <w:rPr>
                <w:rFonts w:hint="eastAsia"/>
                <w:snapToGrid w:val="0"/>
                <w:lang w:eastAsia="zh-CN"/>
              </w:rPr>
              <w:t>该公司现有20m³液氧储罐1台、20m³液态二氧化碳储罐1台以及充装车间1座、甲类仓库1座，该公司经营的危险化学品有氧气、二氧化碳、丙烷、氮气、氦气、氩气、乙炔，氧气、二氧化碳灌装至钢瓶内销售，丙烷为外购充装好的丙烷气瓶存放在甲类仓库进行销售，氮气、氩气、氦气、乙炔为无仓储经营。</w:t>
            </w:r>
          </w:p>
          <w:p w14:paraId="3CB79BF9">
            <w:pPr>
              <w:ind w:firstLine="560"/>
              <w:rPr>
                <w:rFonts w:hint="eastAsia"/>
                <w:snapToGrid w:val="0"/>
                <w:lang w:eastAsia="zh-CN"/>
              </w:rPr>
            </w:pPr>
            <w:r>
              <w:rPr>
                <w:rFonts w:hint="eastAsia"/>
                <w:snapToGrid w:val="0"/>
                <w:lang w:eastAsia="zh-CN"/>
              </w:rPr>
              <w:t>该公司已取得《危险化学品经营许可证》，证书编号：赣饶应经许字[2022]0923197号，经营方式：批发，许可范围：工业氧气（充装）、二氧化碳（充装）、丙烷[以上三个品种仓储经营、仅限销售于工业上使用]，氮气、氩气、氦气、乙炔[以上四个品种无仓储经营、仅销售于工业上使用]，有效期至2025年9月13日。该公司自上一轮取得危险化学品经营许可证以来，三年内未发生过生产安全事故。</w:t>
            </w:r>
          </w:p>
          <w:p w14:paraId="315AE28D">
            <w:pPr>
              <w:ind w:firstLine="560"/>
              <w:rPr>
                <w:rFonts w:hint="eastAsia"/>
                <w:color w:val="auto"/>
              </w:rPr>
            </w:pPr>
            <w:r>
              <w:rPr>
                <w:rFonts w:hint="eastAsia"/>
                <w:color w:val="auto"/>
              </w:rPr>
              <w:t>该公司涉及的危险化学品有氧气、二氧化碳、丙烷、氮气、氦气、氩气、乙炔、柴油（燃料）；不涉及剧毒化学品；不涉及监控化学品；不涉及高毒化学品；不涉及易制爆化学品；不涉及易制毒化学品；不涉及特别管控危险化学品，</w:t>
            </w:r>
            <w:r>
              <w:rPr>
                <w:rFonts w:hint="eastAsia"/>
                <w:lang w:val="zh-CN"/>
              </w:rPr>
              <w:t>无仓储</w:t>
            </w:r>
            <w:r>
              <w:rPr>
                <w:rFonts w:hint="eastAsia"/>
              </w:rPr>
              <w:t>经营的乙炔属于</w:t>
            </w:r>
            <w:r>
              <w:rPr>
                <w:rFonts w:hint="eastAsia"/>
                <w:color w:val="auto"/>
              </w:rPr>
              <w:t>重点监管的危险化学品，不构成危险化学品重大危险源。</w:t>
            </w:r>
          </w:p>
          <w:p w14:paraId="07A856E3">
            <w:pPr>
              <w:ind w:firstLine="560"/>
              <w:rPr>
                <w:rFonts w:hint="default" w:eastAsia="宋体"/>
                <w:snapToGrid w:val="0"/>
                <w:lang w:val="en-US" w:eastAsia="zh-CN"/>
              </w:rPr>
            </w:pPr>
            <w:r>
              <w:rPr>
                <w:rFonts w:hint="eastAsia"/>
                <w:color w:val="auto"/>
              </w:rPr>
              <w:t>该公司</w:t>
            </w:r>
            <w:r>
              <w:rPr>
                <w:color w:val="auto"/>
              </w:rPr>
              <w:t>存在的危险因素有火灾、爆炸、</w:t>
            </w:r>
            <w:r>
              <w:rPr>
                <w:rFonts w:hint="eastAsia"/>
                <w:color w:val="auto"/>
              </w:rPr>
              <w:t>容器爆炸、</w:t>
            </w:r>
            <w:r>
              <w:rPr>
                <w:color w:val="auto"/>
              </w:rPr>
              <w:t>车辆伤害、中毒</w:t>
            </w:r>
            <w:r>
              <w:rPr>
                <w:rFonts w:hint="eastAsia"/>
                <w:color w:val="auto"/>
              </w:rPr>
              <w:t>和</w:t>
            </w:r>
            <w:r>
              <w:rPr>
                <w:color w:val="auto"/>
              </w:rPr>
              <w:t>窒息、</w:t>
            </w:r>
            <w:r>
              <w:rPr>
                <w:rFonts w:hint="eastAsia"/>
                <w:color w:val="auto"/>
              </w:rPr>
              <w:t>触电</w:t>
            </w:r>
            <w:r>
              <w:rPr>
                <w:color w:val="auto"/>
              </w:rPr>
              <w:t>、</w:t>
            </w:r>
            <w:r>
              <w:rPr>
                <w:rFonts w:hint="eastAsia"/>
                <w:color w:val="auto"/>
              </w:rPr>
              <w:t>机械伤害、高处坠落</w:t>
            </w:r>
            <w:r>
              <w:rPr>
                <w:color w:val="auto"/>
              </w:rPr>
              <w:t>、物体打击、</w:t>
            </w:r>
            <w:r>
              <w:rPr>
                <w:rFonts w:hint="eastAsia"/>
                <w:color w:val="auto"/>
              </w:rPr>
              <w:t>淹溺、坍塌、其他</w:t>
            </w:r>
            <w:r>
              <w:rPr>
                <w:color w:val="auto"/>
              </w:rPr>
              <w:t>等</w:t>
            </w:r>
            <w:r>
              <w:rPr>
                <w:rFonts w:hint="eastAsia"/>
                <w:color w:val="auto"/>
              </w:rPr>
              <w:t>，</w:t>
            </w:r>
            <w:r>
              <w:rPr>
                <w:color w:val="auto"/>
              </w:rPr>
              <w:t>重点防范的危险因素是火灾、爆炸</w:t>
            </w:r>
            <w:r>
              <w:rPr>
                <w:rFonts w:hint="eastAsia"/>
                <w:color w:val="auto"/>
              </w:rPr>
              <w:t>、容器</w:t>
            </w:r>
            <w:r>
              <w:rPr>
                <w:color w:val="auto"/>
              </w:rPr>
              <w:t>爆炸</w:t>
            </w:r>
            <w:r>
              <w:rPr>
                <w:rFonts w:hint="eastAsia"/>
                <w:snapToGrid w:val="0"/>
                <w:lang w:eastAsia="zh-CN"/>
              </w:rPr>
              <w:t>。</w:t>
            </w:r>
          </w:p>
        </w:tc>
      </w:tr>
      <w:tr w14:paraId="2E5E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70" w:hRule="atLeast"/>
          <w:jc w:val="center"/>
        </w:trPr>
        <w:tc>
          <w:tcPr>
            <w:tcW w:w="1074" w:type="dxa"/>
            <w:tcBorders>
              <w:tl2br w:val="nil"/>
              <w:tr2bl w:val="nil"/>
            </w:tcBorders>
            <w:shd w:val="clear" w:color="auto" w:fill="FFFFFF"/>
            <w:vAlign w:val="center"/>
          </w:tcPr>
          <w:p w14:paraId="5B52857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5D33AE78">
            <w:pPr>
              <w:rPr>
                <w:color w:val="auto"/>
              </w:rPr>
            </w:pPr>
            <w:r>
              <w:rPr>
                <w:rFonts w:hint="eastAsia"/>
                <w:color w:val="auto"/>
              </w:rPr>
              <w:t>生产工艺流程</w:t>
            </w:r>
            <w:r>
              <w:rPr>
                <w:color w:val="auto"/>
              </w:rPr>
              <w:t>简述：</w:t>
            </w:r>
          </w:p>
          <w:p w14:paraId="31BF5D3E">
            <w:pPr>
              <w:ind w:firstLine="562"/>
              <w:rPr>
                <w:rFonts w:hint="eastAsia"/>
                <w:b/>
                <w:bCs/>
              </w:rPr>
            </w:pPr>
            <w:r>
              <w:rPr>
                <w:rFonts w:hint="eastAsia"/>
                <w:b/>
                <w:bCs/>
              </w:rPr>
              <w:t>1、工业氧气充装工艺</w:t>
            </w:r>
          </w:p>
          <w:p w14:paraId="2FCF8109">
            <w:pPr>
              <w:pStyle w:val="48"/>
              <w:numPr>
                <w:ilvl w:val="0"/>
                <w:numId w:val="4"/>
              </w:numPr>
              <w:tabs>
                <w:tab w:val="left" w:pos="0"/>
              </w:tabs>
              <w:ind w:firstLine="560"/>
              <w:rPr>
                <w:color w:val="auto"/>
              </w:rPr>
            </w:pPr>
            <w:r>
              <w:rPr>
                <w:color w:val="auto"/>
              </w:rPr>
              <w:t>工艺流程图</w:t>
            </w:r>
          </w:p>
          <w:p w14:paraId="37C06069">
            <w:pPr>
              <w:pStyle w:val="48"/>
              <w:numPr>
                <w:ilvl w:val="0"/>
                <w:numId w:val="0"/>
              </w:numPr>
              <w:jc w:val="center"/>
              <w:rPr>
                <w:color w:val="auto"/>
              </w:rPr>
            </w:pPr>
            <w:r>
              <w:rPr>
                <w:color w:val="auto"/>
              </w:rPr>
              <w:drawing>
                <wp:inline distT="0" distB="0" distL="114300" distR="114300">
                  <wp:extent cx="3439160" cy="4036695"/>
                  <wp:effectExtent l="0" t="0" r="8890" b="1905"/>
                  <wp:docPr id="1"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标题"/>
                          <pic:cNvPicPr>
                            <a:picLocks noChangeAspect="1"/>
                          </pic:cNvPicPr>
                        </pic:nvPicPr>
                        <pic:blipFill>
                          <a:blip r:embed="rId4"/>
                          <a:stretch>
                            <a:fillRect/>
                          </a:stretch>
                        </pic:blipFill>
                        <pic:spPr>
                          <a:xfrm>
                            <a:off x="0" y="0"/>
                            <a:ext cx="3439160" cy="4036695"/>
                          </a:xfrm>
                          <a:prstGeom prst="rect">
                            <a:avLst/>
                          </a:prstGeom>
                          <a:noFill/>
                          <a:ln>
                            <a:noFill/>
                          </a:ln>
                        </pic:spPr>
                      </pic:pic>
                    </a:graphicData>
                  </a:graphic>
                </wp:inline>
              </w:drawing>
            </w:r>
          </w:p>
          <w:p w14:paraId="549A32A5">
            <w:pPr>
              <w:pStyle w:val="49"/>
              <w:rPr>
                <w:rFonts w:hint="eastAsia"/>
                <w:color w:val="auto"/>
              </w:rPr>
            </w:pPr>
            <w:r>
              <w:rPr>
                <w:rFonts w:hint="eastAsia"/>
                <w:color w:val="auto"/>
              </w:rPr>
              <w:t>图2.6-1工艺流程图</w:t>
            </w:r>
          </w:p>
          <w:p w14:paraId="0619437D">
            <w:pPr>
              <w:pStyle w:val="48"/>
              <w:numPr>
                <w:ilvl w:val="0"/>
                <w:numId w:val="5"/>
              </w:numPr>
              <w:tabs>
                <w:tab w:val="left" w:pos="0"/>
              </w:tabs>
              <w:ind w:firstLine="560"/>
              <w:rPr>
                <w:color w:val="auto"/>
              </w:rPr>
            </w:pPr>
            <w:r>
              <w:rPr>
                <w:color w:val="auto"/>
              </w:rPr>
              <w:t>工艺简介</w:t>
            </w:r>
          </w:p>
          <w:p w14:paraId="7A020EA9">
            <w:pPr>
              <w:ind w:firstLine="560"/>
              <w:rPr>
                <w:rFonts w:hint="eastAsia"/>
              </w:rPr>
            </w:pPr>
            <w:r>
              <w:rPr>
                <w:rFonts w:hint="eastAsia"/>
              </w:rPr>
              <w:t>从鹰潭远大气体有限公司购入符合国家规定的质量标准的液氧，用低温液体运输槽车运送至厂区，卸入低温液体贮罐，再经低温液体泵打入空温气化器，在空温气化器中气化成为高压气体至充装汇流排，充入气瓶内（充气前，钢瓶应进行检测），再经检验合格，作为产品出售，产品</w:t>
            </w:r>
            <w:r>
              <w:t>委托</w:t>
            </w:r>
            <w:r>
              <w:rPr>
                <w:rFonts w:hint="eastAsia"/>
              </w:rPr>
              <w:t>鹰潭远大气体有限公司危险货物运输车辆进行</w:t>
            </w:r>
            <w:r>
              <w:t>运输</w:t>
            </w:r>
            <w:r>
              <w:rPr>
                <w:rFonts w:hint="eastAsia"/>
              </w:rPr>
              <w:t>。</w:t>
            </w:r>
          </w:p>
          <w:p w14:paraId="4FBAC0D9">
            <w:pPr>
              <w:ind w:firstLine="562"/>
              <w:rPr>
                <w:b/>
                <w:bCs/>
              </w:rPr>
            </w:pPr>
            <w:r>
              <w:rPr>
                <w:rFonts w:hint="eastAsia"/>
                <w:b/>
                <w:bCs/>
              </w:rPr>
              <w:t>2、工业二氧化碳充装工艺</w:t>
            </w:r>
          </w:p>
          <w:p w14:paraId="5212835D">
            <w:pPr>
              <w:pStyle w:val="48"/>
              <w:numPr>
                <w:ilvl w:val="0"/>
                <w:numId w:val="6"/>
              </w:numPr>
              <w:tabs>
                <w:tab w:val="left" w:pos="0"/>
              </w:tabs>
              <w:ind w:firstLine="560"/>
              <w:rPr>
                <w:color w:val="auto"/>
              </w:rPr>
            </w:pPr>
            <w:r>
              <w:rPr>
                <w:color w:val="auto"/>
              </w:rPr>
              <w:t>工艺流程图</w:t>
            </w:r>
          </w:p>
          <w:p w14:paraId="22B2F2F8">
            <w:pPr>
              <w:pStyle w:val="48"/>
              <w:numPr>
                <w:ilvl w:val="0"/>
                <w:numId w:val="0"/>
              </w:numPr>
              <w:jc w:val="center"/>
              <w:rPr>
                <w:color w:val="auto"/>
              </w:rPr>
            </w:pPr>
            <w:r>
              <w:rPr>
                <w:color w:val="auto"/>
              </w:rPr>
              <w:drawing>
                <wp:inline distT="0" distB="0" distL="114300" distR="114300">
                  <wp:extent cx="3281680" cy="3521075"/>
                  <wp:effectExtent l="0" t="0" r="13970" b="317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3281680" cy="3521075"/>
                          </a:xfrm>
                          <a:prstGeom prst="rect">
                            <a:avLst/>
                          </a:prstGeom>
                          <a:noFill/>
                          <a:ln>
                            <a:noFill/>
                          </a:ln>
                        </pic:spPr>
                      </pic:pic>
                    </a:graphicData>
                  </a:graphic>
                </wp:inline>
              </w:drawing>
            </w:r>
          </w:p>
          <w:p w14:paraId="38B96FF2">
            <w:pPr>
              <w:pStyle w:val="49"/>
              <w:rPr>
                <w:rFonts w:hint="eastAsia"/>
                <w:color w:val="auto"/>
              </w:rPr>
            </w:pPr>
            <w:r>
              <w:rPr>
                <w:rFonts w:hint="eastAsia"/>
                <w:color w:val="auto"/>
              </w:rPr>
              <w:t>图2.6-2工艺流程图</w:t>
            </w:r>
          </w:p>
          <w:p w14:paraId="1BDE822C">
            <w:pPr>
              <w:pStyle w:val="48"/>
              <w:numPr>
                <w:ilvl w:val="0"/>
                <w:numId w:val="5"/>
              </w:numPr>
              <w:tabs>
                <w:tab w:val="left" w:pos="0"/>
              </w:tabs>
              <w:ind w:firstLine="560"/>
              <w:rPr>
                <w:color w:val="auto"/>
              </w:rPr>
            </w:pPr>
            <w:r>
              <w:rPr>
                <w:color w:val="auto"/>
              </w:rPr>
              <w:t>工艺简介</w:t>
            </w:r>
          </w:p>
          <w:p w14:paraId="57E39BFC">
            <w:pPr>
              <w:ind w:firstLine="560"/>
              <w:rPr>
                <w:rFonts w:hint="eastAsia"/>
              </w:rPr>
            </w:pPr>
            <w:r>
              <w:rPr>
                <w:rFonts w:hint="eastAsia"/>
              </w:rPr>
              <w:t>从鹰潭远大气体有限公司购入符合国家规定的质量标准的液态二氧化碳，用低温液体运输槽车运送至厂区，卸入低温液体贮罐，再经</w:t>
            </w:r>
            <w:r>
              <w:rPr>
                <w:rFonts w:hint="eastAsia"/>
                <w:color w:val="auto"/>
              </w:rPr>
              <w:t>二氧化碳泵</w:t>
            </w:r>
            <w:r>
              <w:rPr>
                <w:rFonts w:hint="eastAsia"/>
              </w:rPr>
              <w:t>送入充装汇流排，充入气瓶内（充气前，钢瓶应进行检测），再经检验合格，作为产品出售，产品</w:t>
            </w:r>
            <w:r>
              <w:t>委托</w:t>
            </w:r>
            <w:r>
              <w:rPr>
                <w:rFonts w:hint="eastAsia"/>
              </w:rPr>
              <w:t>鹰潭远大气体有限公司危险货物运输车辆进行</w:t>
            </w:r>
            <w:r>
              <w:t>运输</w:t>
            </w:r>
            <w:r>
              <w:rPr>
                <w:rFonts w:hint="eastAsia"/>
              </w:rPr>
              <w:t>。</w:t>
            </w:r>
          </w:p>
          <w:p w14:paraId="1F6C05CA">
            <w:pPr>
              <w:ind w:firstLine="562"/>
              <w:rPr>
                <w:rFonts w:hint="eastAsia"/>
                <w:b/>
                <w:bCs/>
              </w:rPr>
            </w:pPr>
            <w:r>
              <w:rPr>
                <w:rFonts w:hint="eastAsia"/>
                <w:b/>
                <w:bCs/>
              </w:rPr>
              <w:t>3、丙烷仓储经营流程</w:t>
            </w:r>
          </w:p>
          <w:p w14:paraId="67C64B98">
            <w:pPr>
              <w:ind w:firstLine="560"/>
              <w:rPr>
                <w:rFonts w:hint="eastAsia"/>
              </w:rPr>
            </w:pPr>
            <w:r>
              <w:rPr>
                <w:rFonts w:hint="eastAsia"/>
              </w:rPr>
              <w:t>储存：外购合格的丙烷气瓶，</w:t>
            </w:r>
            <w:r>
              <w:t>委托</w:t>
            </w:r>
            <w:r>
              <w:rPr>
                <w:rFonts w:hint="eastAsia"/>
              </w:rPr>
              <w:t>鹰潭远大气体有限公司危险货物运输车辆</w:t>
            </w:r>
            <w:r>
              <w:t>运</w:t>
            </w:r>
            <w:r>
              <w:rPr>
                <w:rFonts w:hint="eastAsia"/>
              </w:rPr>
              <w:t>至厂区，卸车后存储在 204甲类仓库内。</w:t>
            </w:r>
          </w:p>
          <w:p w14:paraId="05EB6900">
            <w:pPr>
              <w:ind w:firstLine="560"/>
              <w:rPr>
                <w:rFonts w:hint="eastAsia"/>
              </w:rPr>
            </w:pPr>
            <w:r>
              <w:rPr>
                <w:rFonts w:hint="eastAsia"/>
              </w:rPr>
              <w:t>出售：作业人员人工将仓库内的气瓶搬运上汽车发货，委托鹰潭远大气体有限公司危险货物运输车辆进行运输。</w:t>
            </w:r>
          </w:p>
          <w:p w14:paraId="1CA2A65E">
            <w:pPr>
              <w:ind w:firstLine="562"/>
              <w:rPr>
                <w:rFonts w:hint="eastAsia"/>
                <w:b/>
                <w:bCs/>
              </w:rPr>
            </w:pPr>
            <w:r>
              <w:rPr>
                <w:rFonts w:hint="eastAsia"/>
                <w:b/>
                <w:bCs/>
              </w:rPr>
              <w:t>4、无仓储经营流程</w:t>
            </w:r>
          </w:p>
          <w:p w14:paraId="1B7E46BD">
            <w:pPr>
              <w:ind w:firstLine="560"/>
              <w:rPr>
                <w:rFonts w:hint="eastAsia"/>
              </w:rPr>
            </w:pPr>
            <w:r>
              <w:rPr>
                <w:rFonts w:hint="eastAsia"/>
              </w:rPr>
              <w:t>该公司采用点对点进行工业</w:t>
            </w:r>
            <w:r>
              <w:rPr>
                <w:rFonts w:hint="eastAsia"/>
                <w:color w:val="auto"/>
              </w:rPr>
              <w:t>氮气、氩气、氦气、乙</w:t>
            </w:r>
            <w:r>
              <w:rPr>
                <w:rFonts w:hint="eastAsia"/>
                <w:color w:val="auto"/>
                <w:lang w:eastAsia="zh-CN"/>
              </w:rPr>
              <w:t>炔</w:t>
            </w:r>
            <w:r>
              <w:rPr>
                <w:rFonts w:hint="eastAsia"/>
              </w:rPr>
              <w:t>的无仓储经营。</w:t>
            </w:r>
          </w:p>
          <w:p w14:paraId="75CD2BD0">
            <w:pPr>
              <w:ind w:firstLine="560"/>
              <w:rPr>
                <w:color w:val="auto"/>
              </w:rPr>
            </w:pPr>
            <w:r>
              <w:rPr>
                <w:rFonts w:hint="eastAsia"/>
              </w:rPr>
              <w:t>（1）接受客户订单；（2）联系厂家；（3）厂家发货；（4）客户接收</w:t>
            </w:r>
            <w:r>
              <w:rPr>
                <w:color w:val="auto"/>
              </w:rPr>
              <w:t>。</w:t>
            </w:r>
          </w:p>
          <w:p w14:paraId="0FE14D6A">
            <w:pPr>
              <w:tabs>
                <w:tab w:val="left" w:pos="1265"/>
                <w:tab w:val="left" w:pos="1380"/>
              </w:tabs>
              <w:snapToGrid w:val="0"/>
              <w:spacing w:line="360" w:lineRule="auto"/>
              <w:jc w:val="left"/>
              <w:rPr>
                <w:rFonts w:ascii="宋体" w:hAnsi="宋体" w:cs="宋体"/>
                <w:snapToGrid w:val="0"/>
                <w:kern w:val="0"/>
                <w:szCs w:val="21"/>
              </w:rPr>
            </w:pPr>
          </w:p>
        </w:tc>
      </w:tr>
      <w:tr w14:paraId="58B5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2B2FC86">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5DFAFB09">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44164A8A">
      <w:r>
        <w:rPr>
          <w:rFonts w:hint="eastAsia"/>
        </w:rPr>
        <w:br w:type="page"/>
      </w:r>
    </w:p>
    <w:p w14:paraId="4136FB9F">
      <w:r>
        <w:drawing>
          <wp:inline distT="0" distB="0" distL="114300" distR="114300">
            <wp:extent cx="5272405" cy="6995160"/>
            <wp:effectExtent l="0" t="0" r="444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2405" cy="6995160"/>
                    </a:xfrm>
                    <a:prstGeom prst="rect">
                      <a:avLst/>
                    </a:prstGeom>
                    <a:noFill/>
                    <a:ln>
                      <a:noFill/>
                    </a:ln>
                  </pic:spPr>
                </pic:pic>
              </a:graphicData>
            </a:graphic>
          </wp:inline>
        </w:drawing>
      </w:r>
    </w:p>
    <w:p w14:paraId="3743821D"/>
    <w:p w14:paraId="0ACD4F6F"/>
    <w:p w14:paraId="77680E70">
      <w:pPr>
        <w:jc w:val="both"/>
      </w:pPr>
    </w:p>
    <w:p w14:paraId="284F31F8"/>
    <w:p w14:paraId="04CF224C">
      <w:r>
        <w:br w:type="page"/>
      </w:r>
    </w:p>
    <w:p w14:paraId="4918CB30">
      <w:pPr>
        <w:jc w:val="both"/>
        <w:rPr>
          <w:rFonts w:hint="eastAsia" w:eastAsia="宋体"/>
          <w:lang w:eastAsia="zh-CN"/>
        </w:rPr>
      </w:pPr>
      <w:r>
        <w:drawing>
          <wp:inline distT="0" distB="0" distL="114300" distR="114300">
            <wp:extent cx="5272405" cy="7213600"/>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7213600"/>
                    </a:xfrm>
                    <a:prstGeom prst="rect">
                      <a:avLst/>
                    </a:prstGeom>
                    <a:noFill/>
                    <a:ln>
                      <a:noFill/>
                    </a:ln>
                  </pic:spPr>
                </pic:pic>
              </a:graphicData>
            </a:graphic>
          </wp:inline>
        </w:drawing>
      </w:r>
    </w:p>
    <w:p w14:paraId="7F422983">
      <w:pPr>
        <w:jc w:val="both"/>
      </w:pPr>
    </w:p>
    <w:p w14:paraId="4397E254">
      <w:pPr>
        <w:jc w:val="both"/>
      </w:pPr>
    </w:p>
    <w:p w14:paraId="0D180275">
      <w:pPr>
        <w:jc w:val="both"/>
        <w:rPr>
          <w:rFonts w:hint="eastAsia" w:ascii="Times New Roman" w:hAnsi="Times New Roman"/>
          <w:kern w:val="0"/>
          <w:sz w:val="28"/>
          <w:szCs w:val="28"/>
          <w:shd w:val="clear" w:color="auto" w:fill="FFFFFF"/>
        </w:rPr>
      </w:pPr>
    </w:p>
    <w:p w14:paraId="7320BAFF"/>
    <w:p w14:paraId="3B579254"/>
    <w:p w14:paraId="4A9043E7"/>
    <w:p w14:paraId="051B9FA4">
      <w:r>
        <w:drawing>
          <wp:inline distT="0" distB="0" distL="114300" distR="114300">
            <wp:extent cx="5271770" cy="7084695"/>
            <wp:effectExtent l="0" t="0" r="508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770" cy="7084695"/>
                    </a:xfrm>
                    <a:prstGeom prst="rect">
                      <a:avLst/>
                    </a:prstGeom>
                    <a:noFill/>
                    <a:ln>
                      <a:noFill/>
                    </a:ln>
                  </pic:spPr>
                </pic:pic>
              </a:graphicData>
            </a:graphic>
          </wp:inline>
        </w:drawing>
      </w:r>
    </w:p>
    <w:p w14:paraId="3D0DBB6A"/>
    <w:p w14:paraId="2926565F"/>
    <w:p w14:paraId="2D1CD838"/>
    <w:p w14:paraId="15764499"/>
    <w:p w14:paraId="753F65C7"/>
    <w:p w14:paraId="430B6AF1"/>
    <w:p w14:paraId="54AFC77D"/>
    <w:p w14:paraId="7B0A4E30"/>
    <w:p w14:paraId="2F6E635B"/>
    <w:p w14:paraId="5E7A6E29">
      <w:r>
        <w:drawing>
          <wp:inline distT="0" distB="0" distL="114300" distR="114300">
            <wp:extent cx="5270500" cy="7219315"/>
            <wp:effectExtent l="0" t="0" r="635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0500" cy="7219315"/>
                    </a:xfrm>
                    <a:prstGeom prst="rect">
                      <a:avLst/>
                    </a:prstGeom>
                    <a:noFill/>
                    <a:ln>
                      <a:noFill/>
                    </a:ln>
                  </pic:spPr>
                </pic:pic>
              </a:graphicData>
            </a:graphic>
          </wp:inline>
        </w:drawing>
      </w:r>
    </w:p>
    <w:p w14:paraId="1EE5D497"/>
    <w:p w14:paraId="4A27907A"/>
    <w:p w14:paraId="62D015E7"/>
    <w:p w14:paraId="0FD05839"/>
    <w:p w14:paraId="064420BD"/>
    <w:p w14:paraId="266909C7"/>
    <w:p w14:paraId="4FFCB8E6">
      <w:pPr>
        <w:pStyle w:val="9"/>
        <w:ind w:left="0" w:leftChars="0" w:firstLine="0" w:firstLineChars="0"/>
      </w:pPr>
      <w:bookmarkStart w:id="0" w:name="_GoBack"/>
      <w:bookmarkEnd w:id="0"/>
      <w:r>
        <w:drawing>
          <wp:inline distT="0" distB="0" distL="114300" distR="114300">
            <wp:extent cx="5273040" cy="56159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3040" cy="561594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951B3ABD"/>
    <w:multiLevelType w:val="singleLevel"/>
    <w:tmpl w:val="951B3ABD"/>
    <w:lvl w:ilvl="0" w:tentative="0">
      <w:start w:val="1"/>
      <w:numFmt w:val="decimal"/>
      <w:pStyle w:val="48"/>
      <w:suff w:val="nothing"/>
      <w:lvlText w:val="%1）"/>
      <w:lvlJc w:val="left"/>
      <w:pPr>
        <w:tabs>
          <w:tab w:val="left" w:pos="0"/>
        </w:tabs>
      </w:pPr>
      <w:rPr>
        <w:rFonts w:hint="default" w:ascii="Times New Roman" w:hAnsi="Times New Roman" w:eastAsia="宋体" w:cs="Times New Roman"/>
        <w:sz w:val="28"/>
        <w:szCs w:val="28"/>
      </w:rPr>
    </w:lvl>
  </w:abstractNum>
  <w:abstractNum w:abstractNumId="2">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2"/>
  </w:num>
  <w:num w:numId="2">
    <w:abstractNumId w:val="0"/>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N2U3YjgwYmFiODFhZWM5YTkwNDFlYjJiYWFlOTQ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1E74B7"/>
    <w:rsid w:val="0FE07C54"/>
    <w:rsid w:val="0FFD1618"/>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2731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5EA6222"/>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C93DF7"/>
    <w:rsid w:val="43F50190"/>
    <w:rsid w:val="4432163F"/>
    <w:rsid w:val="44476729"/>
    <w:rsid w:val="4546743F"/>
    <w:rsid w:val="45A13141"/>
    <w:rsid w:val="46966FC2"/>
    <w:rsid w:val="46F56910"/>
    <w:rsid w:val="47EE36B2"/>
    <w:rsid w:val="485E76F8"/>
    <w:rsid w:val="487A531F"/>
    <w:rsid w:val="48AF6D87"/>
    <w:rsid w:val="49CE6C17"/>
    <w:rsid w:val="4A437992"/>
    <w:rsid w:val="4CDE060B"/>
    <w:rsid w:val="4E2E60EA"/>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ED0745"/>
    <w:rsid w:val="79F44E86"/>
    <w:rsid w:val="79FE7AE0"/>
    <w:rsid w:val="7A083C89"/>
    <w:rsid w:val="7AA15E8B"/>
    <w:rsid w:val="7B424553"/>
    <w:rsid w:val="7BB96559"/>
    <w:rsid w:val="7BF25D18"/>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next w:val="7"/>
    <w:unhideWhenUsed/>
    <w:qFormat/>
    <w:uiPriority w:val="99"/>
    <w:pPr>
      <w:ind w:firstLine="420" w:firstLine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3"/>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7"/>
    <w:next w:val="1"/>
    <w:qFormat/>
    <w:uiPriority w:val="0"/>
    <w:pPr>
      <w:spacing w:after="120"/>
      <w:ind w:firstLine="420" w:firstLineChars="100"/>
    </w:pPr>
  </w:style>
  <w:style w:type="paragraph" w:customStyle="1" w:styleId="24">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paragraph" w:customStyle="1" w:styleId="25">
    <w:name w:val="正文2"/>
    <w:basedOn w:val="1"/>
    <w:qFormat/>
    <w:uiPriority w:val="0"/>
    <w:pPr>
      <w:spacing w:line="440" w:lineRule="atLeast"/>
      <w:ind w:firstLine="567"/>
    </w:pPr>
    <w:rPr>
      <w:sz w:val="24"/>
      <w:szCs w:val="20"/>
    </w:rPr>
  </w:style>
  <w:style w:type="paragraph" w:customStyle="1" w:styleId="26">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7">
    <w:name w:val="Default"/>
    <w:basedOn w:val="28"/>
    <w:next w:val="9"/>
    <w:qFormat/>
    <w:uiPriority w:val="0"/>
    <w:pPr>
      <w:autoSpaceDE w:val="0"/>
      <w:autoSpaceDN w:val="0"/>
    </w:pPr>
    <w:rPr>
      <w:rFonts w:hint="eastAsia" w:ascii="宋体"/>
      <w:sz w:val="24"/>
    </w:rPr>
  </w:style>
  <w:style w:type="paragraph" w:customStyle="1" w:styleId="2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0">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批注框文本 字符"/>
    <w:basedOn w:val="23"/>
    <w:link w:val="14"/>
    <w:qFormat/>
    <w:uiPriority w:val="0"/>
    <w:rPr>
      <w:rFonts w:ascii="Calibri" w:hAnsi="Calibri"/>
      <w:kern w:val="2"/>
      <w:sz w:val="18"/>
      <w:szCs w:val="18"/>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 w:type="paragraph" w:customStyle="1" w:styleId="48">
    <w:name w:val="k-正文一级序列k"/>
    <w:basedOn w:val="1"/>
    <w:qFormat/>
    <w:uiPriority w:val="0"/>
    <w:pPr>
      <w:numPr>
        <w:ilvl w:val="0"/>
        <w:numId w:val="3"/>
      </w:numPr>
      <w:tabs>
        <w:tab w:val="left" w:pos="312"/>
        <w:tab w:val="clear" w:pos="0"/>
      </w:tabs>
      <w:jc w:val="both"/>
    </w:pPr>
    <w:rPr>
      <w:rFonts w:hint="eastAsia"/>
      <w:szCs w:val="28"/>
    </w:rPr>
  </w:style>
  <w:style w:type="paragraph" w:customStyle="1" w:styleId="49">
    <w:name w:val="k-图名、表名k"/>
    <w:basedOn w:val="1"/>
    <w:qFormat/>
    <w:uiPriority w:val="0"/>
    <w:pPr>
      <w:ind w:firstLine="0" w:firstLineChars="0"/>
      <w:jc w:val="center"/>
    </w:pPr>
    <w:rPr>
      <w:rFonts w:ascii="宋体" w:hAnsi="宋体" w:eastAsia="宋体"/>
      <w:b/>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3678</Words>
  <Characters>3939</Characters>
  <Lines>8</Lines>
  <Paragraphs>2</Paragraphs>
  <TotalTime>3</TotalTime>
  <ScaleCrop>false</ScaleCrop>
  <LinksUpToDate>false</LinksUpToDate>
  <CharactersWithSpaces>3942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K</cp:lastModifiedBy>
  <dcterms:modified xsi:type="dcterms:W3CDTF">2025-08-18T07:38:52Z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DF8838ED3FCC40EDA87D519F4E4824F3_13</vt:lpwstr>
  </property>
  <property fmtid="{D5CDD505-2E9C-101B-9397-08002B2CF9AE}" pid="4" name="KSOTemplateDocerSaveRecord">
    <vt:lpwstr>eyJoZGlkIjoiZTVjN2U3YjgwYmFiODFhZWM5YTkwNDFlYjJiYWFlOTQiLCJ1c2VySWQiOiIxMDA5Nzc3MDA4In0=</vt:lpwstr>
  </property>
</Properties>
</file>