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1B523">
      <w:pPr>
        <w:jc w:val="center"/>
        <w:rPr>
          <w:rFonts w:ascii="Times New Roman" w:hAnsi="Times New Roman"/>
          <w:b/>
          <w:bCs/>
          <w:sz w:val="28"/>
          <w:szCs w:val="28"/>
        </w:rPr>
      </w:pPr>
      <w:r>
        <w:rPr>
          <w:rFonts w:hint="eastAsia" w:ascii="Times New Roman" w:hAnsi="Times New Roman"/>
          <w:b/>
          <w:bCs/>
          <w:kern w:val="0"/>
          <w:sz w:val="28"/>
          <w:szCs w:val="28"/>
          <w:shd w:val="clear" w:color="auto" w:fill="FFFFFF"/>
        </w:rPr>
        <w:t>安全评价报告</w:t>
      </w:r>
      <w:r>
        <w:rPr>
          <w:rFonts w:ascii="Times New Roman" w:hAnsi="Times New Roman"/>
          <w:b/>
          <w:bCs/>
          <w:kern w:val="0"/>
          <w:sz w:val="28"/>
          <w:szCs w:val="28"/>
          <w:shd w:val="clear" w:color="auto" w:fill="FFFFFF"/>
        </w:rPr>
        <w:t>公开信息表</w:t>
      </w:r>
    </w:p>
    <w:tbl>
      <w:tblPr>
        <w:tblStyle w:val="2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751"/>
        <w:gridCol w:w="1798"/>
        <w:gridCol w:w="3214"/>
        <w:gridCol w:w="2476"/>
      </w:tblGrid>
      <w:tr w14:paraId="3C3E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5" w:hRule="atLeast"/>
          <w:jc w:val="center"/>
        </w:trPr>
        <w:tc>
          <w:tcPr>
            <w:tcW w:w="1751" w:type="dxa"/>
            <w:tcBorders>
              <w:tl2br w:val="nil"/>
              <w:tr2bl w:val="nil"/>
            </w:tcBorders>
            <w:shd w:val="clear" w:color="auto" w:fill="FFFFFF"/>
            <w:vAlign w:val="center"/>
          </w:tcPr>
          <w:p w14:paraId="46A6F8AF">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项目名称</w:t>
            </w:r>
          </w:p>
        </w:tc>
        <w:tc>
          <w:tcPr>
            <w:tcW w:w="7488" w:type="dxa"/>
            <w:gridSpan w:val="3"/>
            <w:tcBorders>
              <w:tl2br w:val="nil"/>
              <w:tr2bl w:val="nil"/>
            </w:tcBorders>
            <w:shd w:val="clear" w:color="auto" w:fill="FFFFFF"/>
            <w:vAlign w:val="center"/>
          </w:tcPr>
          <w:p w14:paraId="303BA685">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府谷县广信工业气体有限责任公司溶解乙炔生产装置</w:t>
            </w:r>
          </w:p>
          <w:p w14:paraId="53D43712">
            <w:pPr>
              <w:widowControl/>
              <w:ind w:firstLine="0" w:firstLineChars="0"/>
              <w:jc w:val="center"/>
              <w:rPr>
                <w:rFonts w:hint="default"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安全仪表系统改造升级</w:t>
            </w:r>
            <w:r>
              <w:rPr>
                <w:rFonts w:hint="eastAsia" w:ascii="宋体" w:hAnsi="宋体" w:cs="宋体"/>
                <w:color w:val="auto"/>
                <w:sz w:val="24"/>
                <w:szCs w:val="20"/>
                <w:lang w:val="en-US" w:eastAsia="zh-CN"/>
              </w:rPr>
              <w:t>安全设施竣工验收评价报告</w:t>
            </w:r>
          </w:p>
        </w:tc>
      </w:tr>
      <w:tr w14:paraId="47A5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5" w:hRule="atLeast"/>
          <w:jc w:val="center"/>
        </w:trPr>
        <w:tc>
          <w:tcPr>
            <w:tcW w:w="1751" w:type="dxa"/>
            <w:tcBorders>
              <w:tl2br w:val="nil"/>
              <w:tr2bl w:val="nil"/>
            </w:tcBorders>
            <w:shd w:val="clear" w:color="auto" w:fill="FFFFFF"/>
            <w:vAlign w:val="center"/>
          </w:tcPr>
          <w:p w14:paraId="46D93D3F">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完成时间</w:t>
            </w:r>
          </w:p>
        </w:tc>
        <w:tc>
          <w:tcPr>
            <w:tcW w:w="7488" w:type="dxa"/>
            <w:gridSpan w:val="3"/>
            <w:tcBorders>
              <w:tl2br w:val="nil"/>
              <w:tr2bl w:val="nil"/>
            </w:tcBorders>
            <w:shd w:val="clear" w:color="auto" w:fill="FFFFFF"/>
            <w:vAlign w:val="center"/>
          </w:tcPr>
          <w:p w14:paraId="29A29BE4">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2025年</w:t>
            </w:r>
            <w:r>
              <w:rPr>
                <w:rFonts w:hint="eastAsia" w:ascii="宋体" w:hAnsi="宋体" w:cs="宋体"/>
                <w:color w:val="auto"/>
                <w:sz w:val="24"/>
                <w:szCs w:val="20"/>
                <w:lang w:val="en-US" w:eastAsia="zh-CN"/>
              </w:rPr>
              <w:t>07</w:t>
            </w:r>
            <w:r>
              <w:rPr>
                <w:rFonts w:hint="eastAsia" w:ascii="宋体" w:hAnsi="宋体" w:eastAsia="宋体" w:cs="宋体"/>
                <w:color w:val="auto"/>
                <w:sz w:val="24"/>
                <w:szCs w:val="20"/>
                <w:lang w:val="en-US" w:eastAsia="zh-CN"/>
              </w:rPr>
              <w:t>月</w:t>
            </w:r>
          </w:p>
        </w:tc>
      </w:tr>
      <w:tr w14:paraId="096C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5" w:hRule="atLeast"/>
          <w:jc w:val="center"/>
        </w:trPr>
        <w:tc>
          <w:tcPr>
            <w:tcW w:w="9239" w:type="dxa"/>
            <w:gridSpan w:val="4"/>
            <w:tcBorders>
              <w:tl2br w:val="nil"/>
              <w:tr2bl w:val="nil"/>
            </w:tcBorders>
            <w:shd w:val="clear" w:color="auto" w:fill="FFFFFF"/>
            <w:vAlign w:val="center"/>
          </w:tcPr>
          <w:p w14:paraId="399D40FE">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 xml:space="preserve">     评价人员</w:t>
            </w:r>
          </w:p>
        </w:tc>
      </w:tr>
      <w:tr w14:paraId="4AEB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751" w:type="dxa"/>
            <w:tcBorders>
              <w:tl2br w:val="nil"/>
              <w:tr2bl w:val="nil"/>
            </w:tcBorders>
            <w:shd w:val="clear" w:color="auto" w:fill="FFFFFF"/>
            <w:vAlign w:val="center"/>
          </w:tcPr>
          <w:p w14:paraId="4BBB96CC">
            <w:pPr>
              <w:widowControl/>
              <w:ind w:firstLine="0" w:firstLineChars="0"/>
              <w:jc w:val="center"/>
              <w:rPr>
                <w:rFonts w:hint="eastAsia" w:ascii="宋体" w:hAnsi="宋体" w:eastAsia="宋体" w:cs="宋体"/>
                <w:color w:val="auto"/>
                <w:sz w:val="24"/>
                <w:szCs w:val="20"/>
                <w:lang w:val="en-US" w:eastAsia="zh-CN"/>
              </w:rPr>
            </w:pPr>
          </w:p>
        </w:tc>
        <w:tc>
          <w:tcPr>
            <w:tcW w:w="1798" w:type="dxa"/>
            <w:tcBorders>
              <w:tl2br w:val="nil"/>
              <w:tr2bl w:val="nil"/>
            </w:tcBorders>
            <w:shd w:val="clear" w:color="auto" w:fill="FFFFFF"/>
            <w:vAlign w:val="center"/>
          </w:tcPr>
          <w:p w14:paraId="70521168">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姓名</w:t>
            </w:r>
          </w:p>
        </w:tc>
        <w:tc>
          <w:tcPr>
            <w:tcW w:w="3214" w:type="dxa"/>
            <w:tcBorders>
              <w:tl2br w:val="nil"/>
              <w:tr2bl w:val="nil"/>
            </w:tcBorders>
            <w:shd w:val="clear" w:color="auto" w:fill="FFFFFF"/>
            <w:vAlign w:val="center"/>
          </w:tcPr>
          <w:p w14:paraId="111227FB">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资格证书号</w:t>
            </w:r>
          </w:p>
        </w:tc>
        <w:tc>
          <w:tcPr>
            <w:tcW w:w="2476" w:type="dxa"/>
            <w:tcBorders>
              <w:tl2br w:val="nil"/>
              <w:tr2bl w:val="nil"/>
            </w:tcBorders>
            <w:shd w:val="clear" w:color="auto" w:fill="FFFFFF"/>
            <w:vAlign w:val="center"/>
          </w:tcPr>
          <w:p w14:paraId="43BB4CC7">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从业号</w:t>
            </w:r>
          </w:p>
        </w:tc>
      </w:tr>
      <w:tr w14:paraId="34A3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1751" w:type="dxa"/>
            <w:tcBorders>
              <w:tl2br w:val="nil"/>
              <w:tr2bl w:val="nil"/>
            </w:tcBorders>
            <w:shd w:val="clear" w:color="auto" w:fill="FFFFFF"/>
            <w:vAlign w:val="center"/>
          </w:tcPr>
          <w:p w14:paraId="579D971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项目负责人</w:t>
            </w:r>
          </w:p>
        </w:tc>
        <w:tc>
          <w:tcPr>
            <w:tcW w:w="1798" w:type="dxa"/>
            <w:tcBorders>
              <w:tl2br w:val="nil"/>
              <w:tr2bl w:val="nil"/>
            </w:tcBorders>
            <w:shd w:val="clear" w:color="auto" w:fill="FFFFFF"/>
            <w:vAlign w:val="center"/>
          </w:tcPr>
          <w:p w14:paraId="0628AC05">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赵  艳</w:t>
            </w:r>
          </w:p>
        </w:tc>
        <w:tc>
          <w:tcPr>
            <w:tcW w:w="3214" w:type="dxa"/>
            <w:tcBorders>
              <w:tl2br w:val="nil"/>
              <w:tr2bl w:val="nil"/>
            </w:tcBorders>
            <w:shd w:val="clear" w:color="auto" w:fill="FFFFFF"/>
            <w:vAlign w:val="center"/>
          </w:tcPr>
          <w:p w14:paraId="44980241">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1600000000201154</w:t>
            </w:r>
          </w:p>
        </w:tc>
        <w:tc>
          <w:tcPr>
            <w:tcW w:w="2476" w:type="dxa"/>
            <w:tcBorders>
              <w:tl2br w:val="nil"/>
              <w:tr2bl w:val="nil"/>
            </w:tcBorders>
            <w:shd w:val="clear" w:color="auto" w:fill="FFFFFF"/>
            <w:vAlign w:val="center"/>
          </w:tcPr>
          <w:p w14:paraId="552835AD">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021833</w:t>
            </w:r>
          </w:p>
        </w:tc>
      </w:tr>
      <w:tr w14:paraId="7D09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1" w:hRule="atLeast"/>
          <w:jc w:val="center"/>
        </w:trPr>
        <w:tc>
          <w:tcPr>
            <w:tcW w:w="1751" w:type="dxa"/>
            <w:vMerge w:val="restart"/>
            <w:tcBorders>
              <w:tl2br w:val="nil"/>
              <w:tr2bl w:val="nil"/>
            </w:tcBorders>
            <w:shd w:val="clear" w:color="auto" w:fill="FFFFFF"/>
            <w:vAlign w:val="center"/>
          </w:tcPr>
          <w:p w14:paraId="590B5448">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项目组成员</w:t>
            </w:r>
          </w:p>
        </w:tc>
        <w:tc>
          <w:tcPr>
            <w:tcW w:w="1798" w:type="dxa"/>
            <w:tcBorders>
              <w:tl2br w:val="nil"/>
              <w:tr2bl w:val="nil"/>
            </w:tcBorders>
            <w:shd w:val="clear" w:color="auto" w:fill="FFFFFF"/>
            <w:vAlign w:val="center"/>
          </w:tcPr>
          <w:p w14:paraId="1BCEF7B9">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王克士</w:t>
            </w:r>
          </w:p>
        </w:tc>
        <w:tc>
          <w:tcPr>
            <w:tcW w:w="3214" w:type="dxa"/>
            <w:tcBorders>
              <w:tl2br w:val="nil"/>
              <w:tr2bl w:val="nil"/>
            </w:tcBorders>
            <w:shd w:val="clear" w:color="auto" w:fill="FFFFFF"/>
            <w:vAlign w:val="center"/>
          </w:tcPr>
          <w:p w14:paraId="671BB301">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1200000000200824</w:t>
            </w:r>
          </w:p>
        </w:tc>
        <w:tc>
          <w:tcPr>
            <w:tcW w:w="2476" w:type="dxa"/>
            <w:tcBorders>
              <w:tl2br w:val="nil"/>
              <w:tr2bl w:val="nil"/>
            </w:tcBorders>
            <w:shd w:val="clear" w:color="auto" w:fill="FFFFFF"/>
            <w:vAlign w:val="center"/>
          </w:tcPr>
          <w:p w14:paraId="6301F882">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016666</w:t>
            </w:r>
          </w:p>
        </w:tc>
      </w:tr>
      <w:tr w14:paraId="20E5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5" w:hRule="atLeast"/>
          <w:jc w:val="center"/>
        </w:trPr>
        <w:tc>
          <w:tcPr>
            <w:tcW w:w="1751" w:type="dxa"/>
            <w:vMerge w:val="continue"/>
            <w:tcBorders>
              <w:tl2br w:val="nil"/>
              <w:tr2bl w:val="nil"/>
            </w:tcBorders>
            <w:shd w:val="clear" w:color="auto" w:fill="FFFFFF"/>
            <w:vAlign w:val="center"/>
          </w:tcPr>
          <w:p w14:paraId="46175124">
            <w:pPr>
              <w:jc w:val="center"/>
              <w:rPr>
                <w:rFonts w:hint="eastAsia" w:ascii="宋体" w:hAnsi="宋体" w:eastAsia="宋体" w:cs="宋体"/>
                <w:kern w:val="2"/>
                <w:sz w:val="24"/>
                <w:szCs w:val="24"/>
                <w:lang w:val="en-US" w:eastAsia="zh-CN" w:bidi="ar-SA"/>
              </w:rPr>
            </w:pPr>
          </w:p>
        </w:tc>
        <w:tc>
          <w:tcPr>
            <w:tcW w:w="1798" w:type="dxa"/>
            <w:tcBorders>
              <w:tl2br w:val="nil"/>
              <w:tr2bl w:val="nil"/>
            </w:tcBorders>
            <w:shd w:val="clear" w:color="auto" w:fill="FFFFFF"/>
            <w:vAlign w:val="center"/>
          </w:tcPr>
          <w:p w14:paraId="39A79C6C">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张志辉</w:t>
            </w:r>
          </w:p>
        </w:tc>
        <w:tc>
          <w:tcPr>
            <w:tcW w:w="3214" w:type="dxa"/>
            <w:tcBorders>
              <w:tl2br w:val="nil"/>
              <w:tr2bl w:val="nil"/>
            </w:tcBorders>
            <w:shd w:val="clear" w:color="auto" w:fill="FFFFFF"/>
            <w:vAlign w:val="center"/>
          </w:tcPr>
          <w:p w14:paraId="0A17CDF2">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20211004615000001171</w:t>
            </w:r>
          </w:p>
        </w:tc>
        <w:tc>
          <w:tcPr>
            <w:tcW w:w="2476" w:type="dxa"/>
            <w:tcBorders>
              <w:tl2br w:val="nil"/>
              <w:tr2bl w:val="nil"/>
            </w:tcBorders>
            <w:shd w:val="clear" w:color="auto" w:fill="FFFFFF"/>
            <w:vAlign w:val="center"/>
          </w:tcPr>
          <w:p w14:paraId="1ECBC359">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15220306682</w:t>
            </w:r>
          </w:p>
        </w:tc>
      </w:tr>
      <w:tr w14:paraId="41BD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7" w:hRule="atLeast"/>
          <w:jc w:val="center"/>
        </w:trPr>
        <w:tc>
          <w:tcPr>
            <w:tcW w:w="1751" w:type="dxa"/>
            <w:vMerge w:val="continue"/>
            <w:tcBorders>
              <w:tl2br w:val="nil"/>
              <w:tr2bl w:val="nil"/>
            </w:tcBorders>
            <w:shd w:val="clear" w:color="auto" w:fill="FFFFFF"/>
            <w:vAlign w:val="center"/>
          </w:tcPr>
          <w:p w14:paraId="417F6425">
            <w:pPr>
              <w:jc w:val="center"/>
              <w:rPr>
                <w:rFonts w:hint="eastAsia" w:ascii="宋体" w:hAnsi="宋体" w:eastAsia="宋体" w:cs="宋体"/>
                <w:sz w:val="24"/>
                <w:szCs w:val="24"/>
              </w:rPr>
            </w:pPr>
          </w:p>
        </w:tc>
        <w:tc>
          <w:tcPr>
            <w:tcW w:w="1798" w:type="dxa"/>
            <w:tcBorders>
              <w:tl2br w:val="nil"/>
              <w:tr2bl w:val="nil"/>
            </w:tcBorders>
            <w:shd w:val="clear" w:color="auto" w:fill="FFFFFF"/>
            <w:vAlign w:val="center"/>
          </w:tcPr>
          <w:p w14:paraId="2A86B32D">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吴红玉</w:t>
            </w:r>
          </w:p>
        </w:tc>
        <w:tc>
          <w:tcPr>
            <w:tcW w:w="3214" w:type="dxa"/>
            <w:tcBorders>
              <w:tl2br w:val="nil"/>
              <w:tr2bl w:val="nil"/>
            </w:tcBorders>
            <w:shd w:val="clear" w:color="auto" w:fill="FFFFFF"/>
            <w:vAlign w:val="center"/>
          </w:tcPr>
          <w:p w14:paraId="19E7244B">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1200000000300398</w:t>
            </w:r>
          </w:p>
        </w:tc>
        <w:tc>
          <w:tcPr>
            <w:tcW w:w="2476" w:type="dxa"/>
            <w:tcBorders>
              <w:tl2br w:val="nil"/>
              <w:tr2bl w:val="nil"/>
            </w:tcBorders>
            <w:shd w:val="clear" w:color="auto" w:fill="FFFFFF"/>
            <w:vAlign w:val="center"/>
          </w:tcPr>
          <w:p w14:paraId="799BC946">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025175</w:t>
            </w:r>
          </w:p>
        </w:tc>
      </w:tr>
      <w:tr w14:paraId="6F6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3" w:hRule="atLeast"/>
          <w:jc w:val="center"/>
        </w:trPr>
        <w:tc>
          <w:tcPr>
            <w:tcW w:w="1751" w:type="dxa"/>
            <w:vMerge w:val="continue"/>
            <w:tcBorders>
              <w:tl2br w:val="nil"/>
              <w:tr2bl w:val="nil"/>
            </w:tcBorders>
            <w:shd w:val="clear" w:color="auto" w:fill="FFFFFF"/>
            <w:vAlign w:val="center"/>
          </w:tcPr>
          <w:p w14:paraId="1EBC6719">
            <w:pPr>
              <w:jc w:val="center"/>
              <w:rPr>
                <w:rFonts w:hint="eastAsia" w:ascii="宋体" w:hAnsi="宋体" w:eastAsia="宋体" w:cs="宋体"/>
                <w:sz w:val="24"/>
                <w:szCs w:val="24"/>
              </w:rPr>
            </w:pPr>
          </w:p>
        </w:tc>
        <w:tc>
          <w:tcPr>
            <w:tcW w:w="1798" w:type="dxa"/>
            <w:tcBorders>
              <w:tl2br w:val="nil"/>
              <w:tr2bl w:val="nil"/>
            </w:tcBorders>
            <w:shd w:val="clear" w:color="auto" w:fill="FFFFFF"/>
            <w:vAlign w:val="center"/>
          </w:tcPr>
          <w:p w14:paraId="733F7FA1">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岳</w:t>
            </w:r>
            <w:r>
              <w:rPr>
                <w:rFonts w:hint="eastAsia" w:ascii="宋体" w:hAnsi="宋体" w:eastAsia="宋体" w:cs="宋体"/>
                <w:color w:val="auto"/>
                <w:sz w:val="24"/>
                <w:szCs w:val="20"/>
                <w:lang w:val="en-US" w:eastAsia="zh-CN"/>
              </w:rPr>
              <w:t xml:space="preserve">  </w:t>
            </w:r>
            <w:r>
              <w:rPr>
                <w:rFonts w:hint="eastAsia" w:ascii="宋体" w:hAnsi="宋体" w:eastAsia="宋体" w:cs="宋体"/>
                <w:color w:val="auto"/>
                <w:sz w:val="24"/>
                <w:szCs w:val="20"/>
              </w:rPr>
              <w:t>强</w:t>
            </w:r>
          </w:p>
        </w:tc>
        <w:tc>
          <w:tcPr>
            <w:tcW w:w="3214" w:type="dxa"/>
            <w:tcBorders>
              <w:tl2br w:val="nil"/>
              <w:tr2bl w:val="nil"/>
            </w:tcBorders>
            <w:shd w:val="clear" w:color="auto" w:fill="FFFFFF"/>
            <w:vAlign w:val="center"/>
          </w:tcPr>
          <w:p w14:paraId="09691ABB">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0800000000102212</w:t>
            </w:r>
          </w:p>
        </w:tc>
        <w:tc>
          <w:tcPr>
            <w:tcW w:w="2476" w:type="dxa"/>
            <w:tcBorders>
              <w:tl2br w:val="nil"/>
              <w:tr2bl w:val="nil"/>
            </w:tcBorders>
            <w:shd w:val="clear" w:color="auto" w:fill="FFFFFF"/>
            <w:vAlign w:val="center"/>
          </w:tcPr>
          <w:p w14:paraId="29EB2DF4">
            <w:pPr>
              <w:widowControl/>
              <w:ind w:firstLine="0" w:firstLineChars="0"/>
              <w:jc w:val="center"/>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002352</w:t>
            </w:r>
          </w:p>
        </w:tc>
      </w:tr>
      <w:tr w14:paraId="1A4D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9" w:hRule="atLeast"/>
          <w:jc w:val="center"/>
        </w:trPr>
        <w:tc>
          <w:tcPr>
            <w:tcW w:w="1751" w:type="dxa"/>
            <w:tcBorders>
              <w:tl2br w:val="nil"/>
              <w:tr2bl w:val="nil"/>
            </w:tcBorders>
            <w:shd w:val="clear" w:color="auto" w:fill="FFFFFF"/>
            <w:vAlign w:val="center"/>
          </w:tcPr>
          <w:p w14:paraId="2632A060">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技术专家</w:t>
            </w:r>
          </w:p>
        </w:tc>
        <w:tc>
          <w:tcPr>
            <w:tcW w:w="7488" w:type="dxa"/>
            <w:gridSpan w:val="3"/>
            <w:tcBorders>
              <w:tl2br w:val="nil"/>
              <w:tr2bl w:val="nil"/>
            </w:tcBorders>
            <w:shd w:val="clear" w:color="auto" w:fill="FFFFFF"/>
            <w:vAlign w:val="center"/>
          </w:tcPr>
          <w:p w14:paraId="3BDF415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082A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81" w:hRule="atLeast"/>
          <w:jc w:val="center"/>
        </w:trPr>
        <w:tc>
          <w:tcPr>
            <w:tcW w:w="1751" w:type="dxa"/>
            <w:tcBorders>
              <w:tl2br w:val="nil"/>
              <w:tr2bl w:val="nil"/>
            </w:tcBorders>
            <w:shd w:val="clear" w:color="auto" w:fill="FFFFFF"/>
            <w:vAlign w:val="center"/>
          </w:tcPr>
          <w:p w14:paraId="4673EF47">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现场勘察人员及时间</w:t>
            </w:r>
          </w:p>
        </w:tc>
        <w:tc>
          <w:tcPr>
            <w:tcW w:w="7488" w:type="dxa"/>
            <w:gridSpan w:val="3"/>
            <w:tcBorders>
              <w:tl2br w:val="nil"/>
              <w:tr2bl w:val="nil"/>
            </w:tcBorders>
            <w:shd w:val="clear" w:color="auto" w:fill="FFFFFF"/>
            <w:vAlign w:val="center"/>
          </w:tcPr>
          <w:p w14:paraId="10B309BD">
            <w:pPr>
              <w:widowControl/>
              <w:spacing w:after="15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日</w:t>
            </w:r>
          </w:p>
        </w:tc>
      </w:tr>
      <w:tr w14:paraId="0B35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12" w:hRule="atLeast"/>
          <w:jc w:val="center"/>
        </w:trPr>
        <w:tc>
          <w:tcPr>
            <w:tcW w:w="1751" w:type="dxa"/>
            <w:tcBorders>
              <w:tl2br w:val="nil"/>
              <w:tr2bl w:val="nil"/>
            </w:tcBorders>
            <w:shd w:val="clear" w:color="auto" w:fill="FFFFFF"/>
            <w:vAlign w:val="center"/>
          </w:tcPr>
          <w:p w14:paraId="26E8BCB6">
            <w:pPr>
              <w:widowControl/>
              <w:spacing w:after="150"/>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现场核查的人员和时间</w:t>
            </w:r>
          </w:p>
        </w:tc>
        <w:tc>
          <w:tcPr>
            <w:tcW w:w="7488" w:type="dxa"/>
            <w:gridSpan w:val="3"/>
            <w:tcBorders>
              <w:tl2br w:val="nil"/>
              <w:tr2bl w:val="nil"/>
            </w:tcBorders>
            <w:shd w:val="clear" w:color="auto" w:fill="FFFFFF"/>
            <w:vAlign w:val="center"/>
          </w:tcPr>
          <w:p w14:paraId="427B8BC9">
            <w:pPr>
              <w:widowControl/>
              <w:spacing w:after="15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日</w:t>
            </w:r>
          </w:p>
        </w:tc>
      </w:tr>
      <w:tr w14:paraId="6F20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59" w:hRule="atLeast"/>
          <w:jc w:val="center"/>
        </w:trPr>
        <w:tc>
          <w:tcPr>
            <w:tcW w:w="1751" w:type="dxa"/>
            <w:tcBorders>
              <w:tl2br w:val="nil"/>
              <w:tr2bl w:val="nil"/>
            </w:tcBorders>
            <w:shd w:val="clear" w:color="auto" w:fill="FFFFFF"/>
            <w:vAlign w:val="center"/>
          </w:tcPr>
          <w:p w14:paraId="47DE38C8">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项目简介</w:t>
            </w:r>
          </w:p>
        </w:tc>
        <w:tc>
          <w:tcPr>
            <w:tcW w:w="7488" w:type="dxa"/>
            <w:gridSpan w:val="3"/>
            <w:tcBorders>
              <w:tl2br w:val="nil"/>
              <w:tr2bl w:val="nil"/>
            </w:tcBorders>
            <w:shd w:val="clear" w:color="auto" w:fill="FFFFFF"/>
            <w:vAlign w:val="center"/>
          </w:tcPr>
          <w:p w14:paraId="46AEE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府谷县广信工业气体有限责任公司溶解乙炔生产装置安全仪表系统改造升级项目位于陕西省榆林市府谷县老高川乡石尧店村</w:t>
            </w:r>
            <w:r>
              <w:rPr>
                <w:rFonts w:hint="eastAsia" w:ascii="宋体" w:hAnsi="宋体" w:eastAsia="宋体" w:cs="宋体"/>
                <w:color w:val="auto"/>
                <w:kern w:val="2"/>
                <w:sz w:val="24"/>
                <w:szCs w:val="22"/>
                <w:highlight w:val="none"/>
                <w:lang w:val="zh-CN" w:eastAsia="zh-CN" w:bidi="ar-SA"/>
              </w:rPr>
              <w:t>府谷县广信工业气体有限责任公司</w:t>
            </w:r>
            <w:r>
              <w:rPr>
                <w:rFonts w:hint="eastAsia" w:ascii="宋体" w:hAnsi="宋体" w:eastAsia="宋体" w:cs="宋体"/>
                <w:color w:val="auto"/>
                <w:kern w:val="2"/>
                <w:sz w:val="24"/>
                <w:szCs w:val="22"/>
                <w:highlight w:val="none"/>
                <w:lang w:val="en-US" w:eastAsia="zh-CN" w:bidi="ar-SA"/>
              </w:rPr>
              <w:t>厂区北侧。</w:t>
            </w:r>
          </w:p>
          <w:p w14:paraId="6DD41D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2"/>
                <w:highlight w:val="none"/>
                <w:lang w:val="zh-CN" w:eastAsia="zh-CN" w:bidi="ar-SA"/>
              </w:rPr>
            </w:pPr>
            <w:r>
              <w:rPr>
                <w:rFonts w:hint="eastAsia" w:ascii="宋体" w:hAnsi="宋体" w:eastAsia="宋体" w:cs="宋体"/>
                <w:color w:val="auto"/>
                <w:kern w:val="2"/>
                <w:sz w:val="24"/>
                <w:szCs w:val="22"/>
                <w:highlight w:val="none"/>
                <w:lang w:val="en-US" w:eastAsia="zh-CN" w:bidi="ar-SA"/>
              </w:rPr>
              <w:t>溶解乙炔生产装置安全仪表系统改造升级</w:t>
            </w:r>
            <w:r>
              <w:rPr>
                <w:rFonts w:hint="default" w:ascii="宋体" w:hAnsi="宋体" w:eastAsia="宋体" w:cs="宋体"/>
                <w:color w:val="auto"/>
                <w:kern w:val="2"/>
                <w:sz w:val="24"/>
                <w:szCs w:val="22"/>
                <w:highlight w:val="none"/>
                <w:lang w:val="en-US" w:eastAsia="zh-CN" w:bidi="ar-SA"/>
              </w:rPr>
              <w:t>主要</w:t>
            </w:r>
            <w:r>
              <w:rPr>
                <w:rFonts w:hint="eastAsia" w:ascii="宋体" w:hAnsi="宋体" w:eastAsia="宋体" w:cs="宋体"/>
                <w:color w:val="auto"/>
                <w:kern w:val="2"/>
                <w:sz w:val="24"/>
                <w:szCs w:val="22"/>
                <w:highlight w:val="none"/>
                <w:lang w:val="en-US" w:eastAsia="zh-CN" w:bidi="ar-SA"/>
              </w:rPr>
              <w:t>改造内容为：1</w:t>
            </w:r>
            <w:r>
              <w:rPr>
                <w:rFonts w:hint="default" w:ascii="宋体" w:hAnsi="宋体" w:eastAsia="宋体" w:cs="宋体"/>
                <w:color w:val="auto"/>
                <w:kern w:val="2"/>
                <w:sz w:val="24"/>
                <w:szCs w:val="22"/>
                <w:highlight w:val="none"/>
                <w:lang w:val="zh-CN" w:eastAsia="zh-CN" w:bidi="ar-SA"/>
              </w:rPr>
              <w:t>、</w:t>
            </w:r>
            <w:r>
              <w:rPr>
                <w:rFonts w:hint="eastAsia" w:ascii="宋体" w:hAnsi="宋体" w:eastAsia="宋体" w:cs="宋体"/>
                <w:color w:val="auto"/>
                <w:kern w:val="2"/>
                <w:sz w:val="24"/>
                <w:szCs w:val="22"/>
                <w:highlight w:val="none"/>
                <w:lang w:val="zh-CN" w:eastAsia="zh-CN" w:bidi="ar-SA"/>
              </w:rPr>
              <w:t>将</w:t>
            </w:r>
            <w:r>
              <w:rPr>
                <w:rFonts w:hint="default" w:ascii="宋体" w:hAnsi="宋体" w:eastAsia="宋体" w:cs="宋体"/>
                <w:color w:val="auto"/>
                <w:kern w:val="2"/>
                <w:sz w:val="24"/>
                <w:szCs w:val="22"/>
                <w:highlight w:val="none"/>
                <w:lang w:val="zh-CN" w:eastAsia="zh-CN" w:bidi="ar-SA"/>
              </w:rPr>
              <w:t>原有老式待淘汰设备</w:t>
            </w:r>
            <w:r>
              <w:rPr>
                <w:rFonts w:hint="eastAsia" w:ascii="宋体" w:hAnsi="宋体" w:eastAsia="宋体" w:cs="宋体"/>
                <w:color w:val="auto"/>
                <w:kern w:val="2"/>
                <w:sz w:val="24"/>
                <w:szCs w:val="22"/>
                <w:highlight w:val="none"/>
                <w:lang w:val="zh-CN" w:eastAsia="zh-CN" w:bidi="ar-SA"/>
              </w:rPr>
              <w:t>乙炔发生器</w:t>
            </w:r>
            <w:r>
              <w:rPr>
                <w:rFonts w:hint="default" w:ascii="宋体" w:hAnsi="宋体" w:eastAsia="宋体" w:cs="宋体"/>
                <w:color w:val="auto"/>
                <w:kern w:val="2"/>
                <w:sz w:val="24"/>
                <w:szCs w:val="22"/>
                <w:highlight w:val="none"/>
                <w:lang w:val="zh-CN" w:eastAsia="zh-CN" w:bidi="ar-SA"/>
              </w:rPr>
              <w:t>更换为密闭式乙炔发生器。采用电磁振荡自动密闭加料。并增加安全自动化仪表，从本质上提升生产安全；更换后发生器位置及工艺等均不发生变化</w:t>
            </w:r>
            <w:r>
              <w:rPr>
                <w:rFonts w:hint="eastAsia" w:ascii="宋体" w:hAnsi="宋体" w:eastAsia="宋体" w:cs="宋体"/>
                <w:color w:val="auto"/>
                <w:kern w:val="2"/>
                <w:sz w:val="24"/>
                <w:szCs w:val="22"/>
                <w:highlight w:val="none"/>
                <w:lang w:val="zh-CN" w:eastAsia="zh-CN" w:bidi="ar-SA"/>
              </w:rPr>
              <w:t>；</w:t>
            </w:r>
            <w:r>
              <w:rPr>
                <w:rFonts w:hint="eastAsia" w:ascii="宋体" w:hAnsi="宋体" w:eastAsia="宋体" w:cs="宋体"/>
                <w:color w:val="auto"/>
                <w:kern w:val="2"/>
                <w:sz w:val="24"/>
                <w:szCs w:val="22"/>
                <w:highlight w:val="none"/>
                <w:lang w:val="en-US" w:eastAsia="zh-CN" w:bidi="ar-SA"/>
              </w:rPr>
              <w:t>2</w:t>
            </w:r>
            <w:r>
              <w:rPr>
                <w:rFonts w:hint="default" w:ascii="宋体" w:hAnsi="宋体" w:eastAsia="宋体" w:cs="宋体"/>
                <w:color w:val="auto"/>
                <w:kern w:val="2"/>
                <w:sz w:val="24"/>
                <w:szCs w:val="22"/>
                <w:highlight w:val="none"/>
                <w:lang w:val="zh-CN" w:eastAsia="zh-CN" w:bidi="ar-SA"/>
              </w:rPr>
              <w:t>、将原乙炔净化设备略作调整，原设备采用“硫酸+氢氧化钠”净化法，现改为更环保安全的“次氯酸钠+氢氧化钠”法，并增加自动化控制仪表</w:t>
            </w:r>
            <w:r>
              <w:rPr>
                <w:rFonts w:hint="eastAsia" w:ascii="宋体" w:hAnsi="宋体" w:eastAsia="宋体" w:cs="宋体"/>
                <w:color w:val="auto"/>
                <w:kern w:val="2"/>
                <w:sz w:val="24"/>
                <w:szCs w:val="22"/>
                <w:highlight w:val="none"/>
                <w:lang w:val="zh-CN" w:eastAsia="zh-CN" w:bidi="ar-SA"/>
              </w:rPr>
              <w:t>；</w:t>
            </w:r>
            <w:r>
              <w:rPr>
                <w:rFonts w:hint="eastAsia" w:ascii="宋体" w:hAnsi="宋体" w:eastAsia="宋体" w:cs="宋体"/>
                <w:color w:val="auto"/>
                <w:kern w:val="2"/>
                <w:sz w:val="24"/>
                <w:szCs w:val="22"/>
                <w:highlight w:val="none"/>
                <w:lang w:val="en-US" w:eastAsia="zh-CN" w:bidi="ar-SA"/>
              </w:rPr>
              <w:t>3</w:t>
            </w:r>
            <w:r>
              <w:rPr>
                <w:rFonts w:hint="default" w:ascii="宋体" w:hAnsi="宋体" w:eastAsia="宋体" w:cs="宋体"/>
                <w:color w:val="auto"/>
                <w:kern w:val="2"/>
                <w:sz w:val="24"/>
                <w:szCs w:val="22"/>
                <w:highlight w:val="none"/>
                <w:lang w:val="zh-CN" w:eastAsia="zh-CN" w:bidi="ar-SA"/>
              </w:rPr>
              <w:t>、对厂区控制室进行改造。</w:t>
            </w:r>
            <w:r>
              <w:rPr>
                <w:rFonts w:hint="default" w:ascii="宋体" w:hAnsi="宋体" w:eastAsia="宋体" w:cs="宋体"/>
                <w:color w:val="auto"/>
                <w:kern w:val="2"/>
                <w:sz w:val="24"/>
                <w:szCs w:val="22"/>
                <w:highlight w:val="none"/>
                <w:lang w:val="en-US" w:eastAsia="zh-CN" w:bidi="ar-SA"/>
              </w:rPr>
              <w:t>控制室位于办公楼二楼第一个房间</w:t>
            </w:r>
            <w:r>
              <w:rPr>
                <w:rFonts w:hint="default" w:ascii="宋体" w:hAnsi="宋体" w:eastAsia="宋体" w:cs="宋体"/>
                <w:color w:val="auto"/>
                <w:kern w:val="2"/>
                <w:sz w:val="24"/>
                <w:szCs w:val="22"/>
                <w:highlight w:val="none"/>
                <w:lang w:val="zh-CN" w:eastAsia="zh-CN" w:bidi="ar-SA"/>
              </w:rPr>
              <w:t>，严格按照国家规定将厂区DCS控制系统、SIS控制系统等接入内部，达到生产更安全的效果。</w:t>
            </w:r>
          </w:p>
          <w:p w14:paraId="4CEEE535">
            <w:pPr>
              <w:pStyle w:val="22"/>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lang w:val="en-US"/>
              </w:rPr>
            </w:pPr>
            <w:r>
              <w:rPr>
                <w:rFonts w:hint="default" w:ascii="宋体" w:hAnsi="宋体" w:eastAsia="宋体" w:cs="宋体"/>
                <w:b w:val="0"/>
                <w:color w:val="auto"/>
                <w:kern w:val="2"/>
                <w:sz w:val="24"/>
                <w:szCs w:val="22"/>
                <w:highlight w:val="none"/>
                <w:lang w:val="en-US" w:eastAsia="zh-CN" w:bidi="ar-SA"/>
              </w:rPr>
              <w:t>溶解乙炔安全仪表系统改造升级后，企业厂区总平面布置不发生变化</w:t>
            </w:r>
            <w:r>
              <w:rPr>
                <w:rFonts w:hint="eastAsia" w:ascii="宋体" w:hAnsi="宋体" w:eastAsia="宋体" w:cs="宋体"/>
                <w:b w:val="0"/>
                <w:color w:val="auto"/>
                <w:kern w:val="2"/>
                <w:sz w:val="24"/>
                <w:szCs w:val="22"/>
                <w:highlight w:val="none"/>
                <w:lang w:val="en-US" w:eastAsia="zh-CN" w:bidi="ar-SA"/>
              </w:rPr>
              <w:t>，</w:t>
            </w:r>
            <w:r>
              <w:rPr>
                <w:rFonts w:hint="default" w:ascii="宋体" w:hAnsi="宋体" w:eastAsia="宋体" w:cs="宋体"/>
                <w:b w:val="0"/>
                <w:color w:val="auto"/>
                <w:kern w:val="2"/>
                <w:sz w:val="24"/>
                <w:szCs w:val="22"/>
                <w:highlight w:val="none"/>
                <w:lang w:val="en-US" w:eastAsia="zh-CN" w:bidi="ar-SA"/>
              </w:rPr>
              <w:t>乙炔生产改造后发生器等设备位置不发生变化</w:t>
            </w:r>
            <w:r>
              <w:rPr>
                <w:rFonts w:hint="eastAsia" w:ascii="宋体" w:hAnsi="宋体" w:eastAsia="宋体" w:cs="宋体"/>
                <w:b w:val="0"/>
                <w:color w:val="auto"/>
                <w:kern w:val="2"/>
                <w:sz w:val="24"/>
                <w:szCs w:val="22"/>
                <w:highlight w:val="none"/>
                <w:lang w:val="en-US" w:eastAsia="zh-CN" w:bidi="ar-SA"/>
              </w:rPr>
              <w:t>。</w:t>
            </w:r>
          </w:p>
        </w:tc>
      </w:tr>
      <w:tr w14:paraId="4E6C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5" w:hRule="atLeast"/>
          <w:jc w:val="center"/>
        </w:trPr>
        <w:tc>
          <w:tcPr>
            <w:tcW w:w="1751" w:type="dxa"/>
            <w:tcBorders>
              <w:tl2br w:val="nil"/>
              <w:tr2bl w:val="nil"/>
            </w:tcBorders>
            <w:shd w:val="clear" w:color="auto" w:fill="FFFFFF"/>
            <w:vAlign w:val="center"/>
          </w:tcPr>
          <w:p w14:paraId="2114DE97">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被评价单位信息反馈情况</w:t>
            </w:r>
          </w:p>
        </w:tc>
        <w:tc>
          <w:tcPr>
            <w:tcW w:w="7488" w:type="dxa"/>
            <w:gridSpan w:val="3"/>
            <w:tcBorders>
              <w:tl2br w:val="nil"/>
              <w:tr2bl w:val="nil"/>
            </w:tcBorders>
            <w:shd w:val="clear" w:color="auto" w:fill="FFFFFF"/>
            <w:vAlign w:val="center"/>
          </w:tcPr>
          <w:p w14:paraId="2840A0DC">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满意</w:t>
            </w:r>
          </w:p>
        </w:tc>
      </w:tr>
    </w:tbl>
    <w:p w14:paraId="52D545A2">
      <w:pPr>
        <w:rPr>
          <w:rFonts w:hint="eastAsia" w:ascii="Times New Roman" w:hAnsi="Times New Roman"/>
          <w:kern w:val="0"/>
          <w:sz w:val="28"/>
          <w:szCs w:val="28"/>
          <w:shd w:val="clear" w:color="auto" w:fill="FFFFFF"/>
          <w:lang w:val="en-US" w:eastAsia="zh-CN"/>
        </w:rPr>
      </w:pPr>
      <w:r>
        <w:rPr>
          <w:rFonts w:hint="eastAsia" w:ascii="Times New Roman" w:hAnsi="Times New Roman"/>
          <w:kern w:val="0"/>
          <w:sz w:val="28"/>
          <w:szCs w:val="28"/>
          <w:shd w:val="clear" w:color="auto" w:fill="FFFFFF"/>
          <w:lang w:val="en-US" w:eastAsia="zh-CN"/>
        </w:rPr>
        <w:br w:type="page"/>
      </w:r>
    </w:p>
    <w:p w14:paraId="2EC40581">
      <w:pPr>
        <w:rPr>
          <w:rFonts w:hint="default" w:ascii="Times New Roman" w:hAnsi="Times New Roman" w:eastAsia="仿宋_GB2312" w:cs="Times New Roman"/>
          <w:kern w:val="2"/>
          <w:sz w:val="24"/>
          <w:szCs w:val="24"/>
          <w:lang w:val="en-US" w:eastAsia="zh-CN" w:bidi="ar-SA"/>
        </w:rPr>
      </w:pPr>
      <w:r>
        <w:rPr>
          <w:rFonts w:hint="eastAsia" w:ascii="Times New Roman" w:hAnsi="Times New Roman"/>
          <w:b/>
          <w:bCs/>
          <w:kern w:val="0"/>
          <w:sz w:val="28"/>
          <w:szCs w:val="28"/>
          <w:shd w:val="clear" w:color="auto" w:fill="FFFFFF"/>
          <w:lang w:val="en-US" w:eastAsia="zh-CN"/>
        </w:rPr>
        <w:t>评价人员现场照片</w:t>
      </w:r>
      <w:r>
        <w:rPr>
          <w:rFonts w:hint="eastAsia" w:ascii="Times New Roman" w:hAnsi="Times New Roman" w:eastAsia="仿宋_GB2312" w:cs="Times New Roman"/>
          <w:kern w:val="2"/>
          <w:sz w:val="22"/>
          <w:szCs w:val="22"/>
          <w:lang w:val="en-US" w:eastAsia="zh-CN" w:bidi="ar-SA"/>
        </w:rPr>
        <w:t>（项目负责人、项目组成员厂区门口及主要设施前打卡照片）</w:t>
      </w:r>
    </w:p>
    <w:p w14:paraId="274B9DD8">
      <w:pPr>
        <w:jc w:val="both"/>
        <w:rPr>
          <w:lang w:val="en-US" w:eastAsia="zh-CN"/>
        </w:rPr>
      </w:pPr>
      <w:r>
        <w:rPr>
          <w:lang w:val="en-US" w:eastAsia="zh-CN"/>
        </w:rPr>
        <w:drawing>
          <wp:inline distT="0" distB="0" distL="114300" distR="114300">
            <wp:extent cx="5264785" cy="3947160"/>
            <wp:effectExtent l="0" t="0" r="12065" b="15240"/>
            <wp:docPr id="1" name="图片 1" descr="a8881785c13b436b415eba616715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881785c13b436b415eba61671525d"/>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217FC638">
      <w:pPr>
        <w:rPr>
          <w:rFonts w:hint="default"/>
          <w:lang w:val="en-US" w:eastAsia="zh-CN"/>
        </w:rPr>
      </w:pPr>
    </w:p>
    <w:p w14:paraId="227B824A">
      <w:pPr>
        <w:rPr>
          <w:rFonts w:hint="default"/>
          <w:lang w:val="en-US" w:eastAsia="zh-CN"/>
        </w:rPr>
      </w:pPr>
    </w:p>
    <w:p w14:paraId="72E2B613">
      <w:pPr>
        <w:jc w:val="center"/>
        <w:rPr>
          <w:rFonts w:hint="default"/>
          <w:lang w:val="en-US" w:eastAsia="zh-CN"/>
        </w:rPr>
      </w:pPr>
      <w:r>
        <w:rPr>
          <w:rFonts w:hint="default"/>
          <w:lang w:val="en-US" w:eastAsia="zh-CN"/>
        </w:rPr>
        <w:drawing>
          <wp:inline distT="0" distB="0" distL="114300" distR="114300">
            <wp:extent cx="5300980" cy="4046855"/>
            <wp:effectExtent l="0" t="0" r="2540" b="6985"/>
            <wp:docPr id="4" name="图片 4" descr="e09a9646d6b9516ffb7e125455f8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09a9646d6b9516ffb7e125455f8ed6"/>
                    <pic:cNvPicPr>
                      <a:picLocks noChangeAspect="1"/>
                    </pic:cNvPicPr>
                  </pic:nvPicPr>
                  <pic:blipFill>
                    <a:blip r:embed="rId5"/>
                    <a:srcRect t="30274"/>
                    <a:stretch>
                      <a:fillRect/>
                    </a:stretch>
                  </pic:blipFill>
                  <pic:spPr>
                    <a:xfrm>
                      <a:off x="0" y="0"/>
                      <a:ext cx="5300980" cy="4046855"/>
                    </a:xfrm>
                    <a:prstGeom prst="rect">
                      <a:avLst/>
                    </a:prstGeom>
                  </pic:spPr>
                </pic:pic>
              </a:graphicData>
            </a:graphic>
          </wp:inline>
        </w:drawing>
      </w:r>
    </w:p>
    <w:p w14:paraId="60EC9782">
      <w:pPr>
        <w:rPr>
          <w:rFonts w:hint="default"/>
          <w:lang w:val="en-US" w:eastAsia="zh-CN"/>
        </w:rPr>
      </w:pPr>
    </w:p>
    <w:p w14:paraId="5C0E9244">
      <w:pPr>
        <w:pStyle w:val="22"/>
        <w:jc w:val="both"/>
        <w:rPr>
          <w:rFonts w:hint="eastAsia" w:ascii="Times New Roman" w:hAnsi="Times New Roman"/>
          <w:b w:val="0"/>
          <w:bCs/>
          <w:kern w:val="0"/>
          <w:sz w:val="28"/>
          <w:szCs w:val="28"/>
          <w:shd w:val="clear" w:color="auto" w:fill="FFFFFF"/>
          <w:lang w:val="en-US" w:eastAsia="zh-CN"/>
        </w:rPr>
      </w:pPr>
      <w:r>
        <w:rPr>
          <w:rFonts w:hint="eastAsia" w:ascii="Times New Roman" w:hAnsi="Times New Roman"/>
          <w:b w:val="0"/>
          <w:bCs/>
          <w:kern w:val="0"/>
          <w:sz w:val="28"/>
          <w:szCs w:val="28"/>
          <w:shd w:val="clear" w:color="auto" w:fill="FFFFFF"/>
          <w:lang w:val="en-US" w:eastAsia="zh-CN"/>
        </w:rPr>
        <w:t>报告内封面</w:t>
      </w:r>
      <w:bookmarkStart w:id="0" w:name="_GoBack"/>
      <w:bookmarkEnd w:id="0"/>
    </w:p>
    <w:p w14:paraId="541387BA">
      <w:pPr>
        <w:bidi w:val="0"/>
        <w:rPr>
          <w:rFonts w:hint="default"/>
          <w:lang w:val="en-US" w:eastAsia="zh-CN"/>
        </w:rPr>
      </w:pPr>
    </w:p>
    <w:p w14:paraId="22C34E58">
      <w:pPr>
        <w:bidi w:val="0"/>
        <w:rPr>
          <w:rFonts w:hint="default"/>
          <w:lang w:val="en-US" w:eastAsia="zh-CN"/>
        </w:rPr>
      </w:pPr>
      <w:r>
        <w:rPr>
          <w:rFonts w:hint="default" w:ascii="Times New Roman" w:hAnsi="Times New Roman"/>
          <w:b w:val="0"/>
          <w:bCs/>
          <w:kern w:val="0"/>
          <w:sz w:val="28"/>
          <w:szCs w:val="28"/>
          <w:shd w:val="clear" w:color="auto" w:fill="FFFFFF"/>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81280</wp:posOffset>
            </wp:positionV>
            <wp:extent cx="5262880" cy="7804150"/>
            <wp:effectExtent l="0" t="0" r="13970" b="6350"/>
            <wp:wrapSquare wrapText="bothSides"/>
            <wp:docPr id="3" name="图片 3" descr="c9e1aabf87758d29d1bdf12ff7cd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9e1aabf87758d29d1bdf12ff7cd4034"/>
                    <pic:cNvPicPr>
                      <a:picLocks noChangeAspect="1"/>
                    </pic:cNvPicPr>
                  </pic:nvPicPr>
                  <pic:blipFill>
                    <a:blip r:embed="rId6"/>
                    <a:stretch>
                      <a:fillRect/>
                    </a:stretch>
                  </pic:blipFill>
                  <pic:spPr>
                    <a:xfrm>
                      <a:off x="0" y="0"/>
                      <a:ext cx="5262880" cy="7804150"/>
                    </a:xfrm>
                    <a:prstGeom prst="rect">
                      <a:avLst/>
                    </a:prstGeom>
                  </pic:spPr>
                </pic:pic>
              </a:graphicData>
            </a:graphic>
          </wp:anchor>
        </w:drawing>
      </w:r>
    </w:p>
    <w:p w14:paraId="1063B302">
      <w:pPr>
        <w:tabs>
          <w:tab w:val="left" w:pos="606"/>
        </w:tabs>
        <w:bidi w:val="0"/>
        <w:jc w:val="left"/>
        <w:rPr>
          <w:rFonts w:hint="eastAsia"/>
          <w:lang w:val="en-US" w:eastAsia="zh-CN"/>
        </w:rPr>
      </w:pPr>
      <w:r>
        <w:rPr>
          <w:rFonts w:hint="eastAsia"/>
          <w:lang w:val="en-US" w:eastAsia="zh-CN"/>
        </w:rPr>
        <w:tab/>
      </w:r>
    </w:p>
    <w:p w14:paraId="67F81BBB">
      <w:pPr>
        <w:rPr>
          <w:rFonts w:hint="eastAsia"/>
          <w:sz w:val="28"/>
          <w:szCs w:val="28"/>
          <w:lang w:val="en-US" w:eastAsia="zh-CN"/>
        </w:rPr>
      </w:pPr>
      <w:r>
        <w:rPr>
          <w:rFonts w:hint="eastAsia"/>
          <w:sz w:val="28"/>
          <w:szCs w:val="28"/>
          <w:lang w:val="en-US" w:eastAsia="zh-CN"/>
        </w:rPr>
        <w:t>报告结论页</w:t>
      </w:r>
    </w:p>
    <w:p w14:paraId="4E1F5503">
      <w:pPr>
        <w:pStyle w:val="22"/>
        <w:jc w:val="both"/>
        <w:rPr>
          <w:rFonts w:hint="eastAsia" w:ascii="Times New Roman" w:hAnsi="Times New Roman"/>
          <w:b w:val="0"/>
          <w:bCs/>
          <w:kern w:val="0"/>
          <w:sz w:val="28"/>
          <w:szCs w:val="28"/>
          <w:shd w:val="clear" w:color="auto" w:fill="FFFFFF"/>
          <w:lang w:val="en-US" w:eastAsia="zh-CN"/>
        </w:rPr>
      </w:pPr>
    </w:p>
    <w:p w14:paraId="3AB1E2F4">
      <w:pPr>
        <w:bidi w:val="0"/>
        <w:ind w:firstLine="531" w:firstLineChars="0"/>
        <w:jc w:val="left"/>
        <w:rPr>
          <w:rFonts w:hint="default"/>
          <w:lang w:val="en-US" w:eastAsia="zh-CN"/>
        </w:rPr>
      </w:pPr>
      <w:r>
        <w:rPr>
          <w:rFonts w:hint="default"/>
          <w:lang w:val="en-US" w:eastAsia="zh-CN"/>
        </w:rPr>
        <w:drawing>
          <wp:inline distT="0" distB="0" distL="114300" distR="114300">
            <wp:extent cx="5262880" cy="7595870"/>
            <wp:effectExtent l="0" t="0" r="13970" b="5080"/>
            <wp:docPr id="5" name="图片 5" descr="5a420626ce8b52dd964fa5b342d24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420626ce8b52dd964fa5b342d24dfc"/>
                    <pic:cNvPicPr>
                      <a:picLocks noChangeAspect="1"/>
                    </pic:cNvPicPr>
                  </pic:nvPicPr>
                  <pic:blipFill>
                    <a:blip r:embed="rId7"/>
                    <a:stretch>
                      <a:fillRect/>
                    </a:stretch>
                  </pic:blipFill>
                  <pic:spPr>
                    <a:xfrm>
                      <a:off x="0" y="0"/>
                      <a:ext cx="5262880" cy="7595870"/>
                    </a:xfrm>
                    <a:prstGeom prst="rect">
                      <a:avLst/>
                    </a:prstGeom>
                  </pic:spPr>
                </pic:pic>
              </a:graphicData>
            </a:graphic>
          </wp:inline>
        </w:drawing>
      </w:r>
    </w:p>
    <w:p w14:paraId="6C80451D">
      <w:pPr>
        <w:pStyle w:val="22"/>
        <w:rPr>
          <w:rFonts w:hint="default"/>
          <w:lang w:val="en-US" w:eastAsia="zh-CN"/>
        </w:rPr>
      </w:pPr>
    </w:p>
    <w:p w14:paraId="1C311D6B">
      <w:pPr>
        <w:rPr>
          <w:rFonts w:hint="eastAsia" w:ascii="Times New Roman" w:hAnsi="Times New Roman"/>
          <w:kern w:val="0"/>
          <w:sz w:val="28"/>
          <w:szCs w:val="28"/>
          <w:shd w:val="clear" w:color="auto" w:fill="FFFFFF"/>
          <w:lang w:val="en-US" w:eastAsia="zh-CN"/>
        </w:rPr>
      </w:pPr>
      <w:r>
        <w:rPr>
          <w:rFonts w:hint="eastAsia"/>
          <w:sz w:val="28"/>
          <w:szCs w:val="28"/>
          <w:lang w:val="en-US" w:eastAsia="zh-CN"/>
        </w:rPr>
        <w:t>合同外封面</w:t>
      </w:r>
    </w:p>
    <w:p w14:paraId="1CD88E15">
      <w:pPr>
        <w:pStyle w:val="2"/>
        <w:ind w:left="0" w:leftChars="0" w:firstLine="0" w:firstLineChars="0"/>
        <w:rPr>
          <w:rFonts w:hint="default"/>
          <w:lang w:val="en-US" w:eastAsia="zh-CN"/>
        </w:rPr>
      </w:pPr>
      <w:r>
        <w:rPr>
          <w:rFonts w:hint="default"/>
          <w:lang w:val="en-US" w:eastAsia="zh-CN"/>
        </w:rPr>
        <w:drawing>
          <wp:inline distT="0" distB="0" distL="114300" distR="114300">
            <wp:extent cx="5378450" cy="7813040"/>
            <wp:effectExtent l="0" t="0" r="12700" b="16510"/>
            <wp:docPr id="6" name="图片 6" descr="f7e928208d1043b357aa21d8d8f97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7e928208d1043b357aa21d8d8f9783a"/>
                    <pic:cNvPicPr>
                      <a:picLocks noChangeAspect="1"/>
                    </pic:cNvPicPr>
                  </pic:nvPicPr>
                  <pic:blipFill>
                    <a:blip r:embed="rId8"/>
                    <a:stretch>
                      <a:fillRect/>
                    </a:stretch>
                  </pic:blipFill>
                  <pic:spPr>
                    <a:xfrm>
                      <a:off x="0" y="0"/>
                      <a:ext cx="5378450" cy="781304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jdiZTZhYWEwMDUyMzMwMzdhZWM2ZmNjMGMzMDkifQ=="/>
  </w:docVars>
  <w:rsids>
    <w:rsidRoot w:val="00E3751A"/>
    <w:rsid w:val="00047227"/>
    <w:rsid w:val="00303C12"/>
    <w:rsid w:val="003A7C06"/>
    <w:rsid w:val="004D1AF7"/>
    <w:rsid w:val="00756850"/>
    <w:rsid w:val="00802085"/>
    <w:rsid w:val="00C75118"/>
    <w:rsid w:val="00C82162"/>
    <w:rsid w:val="00D40559"/>
    <w:rsid w:val="00E3751A"/>
    <w:rsid w:val="01381A2C"/>
    <w:rsid w:val="03C37305"/>
    <w:rsid w:val="04543719"/>
    <w:rsid w:val="045937F4"/>
    <w:rsid w:val="04664971"/>
    <w:rsid w:val="04714B20"/>
    <w:rsid w:val="04D11406"/>
    <w:rsid w:val="04E23328"/>
    <w:rsid w:val="065A7F9B"/>
    <w:rsid w:val="06EF6353"/>
    <w:rsid w:val="074030DF"/>
    <w:rsid w:val="07D32EB9"/>
    <w:rsid w:val="07E46E00"/>
    <w:rsid w:val="08300409"/>
    <w:rsid w:val="08302FF8"/>
    <w:rsid w:val="08ED0200"/>
    <w:rsid w:val="096769A3"/>
    <w:rsid w:val="096F1B10"/>
    <w:rsid w:val="0A0E1339"/>
    <w:rsid w:val="0A28551C"/>
    <w:rsid w:val="0BC750FD"/>
    <w:rsid w:val="0D073DB5"/>
    <w:rsid w:val="0D081033"/>
    <w:rsid w:val="0EAC631D"/>
    <w:rsid w:val="0F1C6141"/>
    <w:rsid w:val="101628B2"/>
    <w:rsid w:val="10806817"/>
    <w:rsid w:val="10AE1BD9"/>
    <w:rsid w:val="13FA1B12"/>
    <w:rsid w:val="141C622E"/>
    <w:rsid w:val="17550DB0"/>
    <w:rsid w:val="17810296"/>
    <w:rsid w:val="17C601C4"/>
    <w:rsid w:val="18301429"/>
    <w:rsid w:val="188D103C"/>
    <w:rsid w:val="190E35A0"/>
    <w:rsid w:val="191A70DD"/>
    <w:rsid w:val="19992B53"/>
    <w:rsid w:val="19CE23A1"/>
    <w:rsid w:val="1A4E76A5"/>
    <w:rsid w:val="1ADA1B6B"/>
    <w:rsid w:val="1AFA3B2D"/>
    <w:rsid w:val="1B63147C"/>
    <w:rsid w:val="1C4B6410"/>
    <w:rsid w:val="1CD13F56"/>
    <w:rsid w:val="1CD14F1F"/>
    <w:rsid w:val="1F142A61"/>
    <w:rsid w:val="1FAC2BD1"/>
    <w:rsid w:val="214C4107"/>
    <w:rsid w:val="21A13C43"/>
    <w:rsid w:val="2282270A"/>
    <w:rsid w:val="23532900"/>
    <w:rsid w:val="23B37411"/>
    <w:rsid w:val="242E50EF"/>
    <w:rsid w:val="24775815"/>
    <w:rsid w:val="271635D9"/>
    <w:rsid w:val="27280E94"/>
    <w:rsid w:val="27F61196"/>
    <w:rsid w:val="297A3C20"/>
    <w:rsid w:val="29925FE1"/>
    <w:rsid w:val="29C972C6"/>
    <w:rsid w:val="29FC7E30"/>
    <w:rsid w:val="2BD9110B"/>
    <w:rsid w:val="2CF970FD"/>
    <w:rsid w:val="2EAE6403"/>
    <w:rsid w:val="339918AA"/>
    <w:rsid w:val="351530F3"/>
    <w:rsid w:val="35211925"/>
    <w:rsid w:val="36577381"/>
    <w:rsid w:val="366115C7"/>
    <w:rsid w:val="37285AB1"/>
    <w:rsid w:val="375C6F30"/>
    <w:rsid w:val="3781684D"/>
    <w:rsid w:val="3823766B"/>
    <w:rsid w:val="396748BA"/>
    <w:rsid w:val="3AB6680E"/>
    <w:rsid w:val="3AD61658"/>
    <w:rsid w:val="3AF50232"/>
    <w:rsid w:val="3B251FB8"/>
    <w:rsid w:val="3B3712DA"/>
    <w:rsid w:val="3B622014"/>
    <w:rsid w:val="3C6B289C"/>
    <w:rsid w:val="3C7D28D5"/>
    <w:rsid w:val="3D027FC2"/>
    <w:rsid w:val="3D3D4FC4"/>
    <w:rsid w:val="3DEB4A20"/>
    <w:rsid w:val="3EB62D94"/>
    <w:rsid w:val="3FDA2F9E"/>
    <w:rsid w:val="40DD7963"/>
    <w:rsid w:val="416C231C"/>
    <w:rsid w:val="41C84509"/>
    <w:rsid w:val="42305ED2"/>
    <w:rsid w:val="42355182"/>
    <w:rsid w:val="43120BD6"/>
    <w:rsid w:val="43F50190"/>
    <w:rsid w:val="4432163F"/>
    <w:rsid w:val="45092F9E"/>
    <w:rsid w:val="4546743F"/>
    <w:rsid w:val="45A13141"/>
    <w:rsid w:val="46966FC2"/>
    <w:rsid w:val="47EE36B2"/>
    <w:rsid w:val="481822D3"/>
    <w:rsid w:val="48AF6D87"/>
    <w:rsid w:val="49CE6C17"/>
    <w:rsid w:val="4AF54D75"/>
    <w:rsid w:val="4CDE060B"/>
    <w:rsid w:val="4E3D5914"/>
    <w:rsid w:val="4EC87688"/>
    <w:rsid w:val="515A3854"/>
    <w:rsid w:val="52CC47C0"/>
    <w:rsid w:val="52E07D49"/>
    <w:rsid w:val="5374510A"/>
    <w:rsid w:val="5503044A"/>
    <w:rsid w:val="563D2137"/>
    <w:rsid w:val="57301D47"/>
    <w:rsid w:val="57487036"/>
    <w:rsid w:val="57800B40"/>
    <w:rsid w:val="57CD2DFE"/>
    <w:rsid w:val="58244FE5"/>
    <w:rsid w:val="584B13F6"/>
    <w:rsid w:val="5984145C"/>
    <w:rsid w:val="59D926D2"/>
    <w:rsid w:val="5A3C20EF"/>
    <w:rsid w:val="5AA52A54"/>
    <w:rsid w:val="5BC05975"/>
    <w:rsid w:val="5C0F4EFE"/>
    <w:rsid w:val="5D89238E"/>
    <w:rsid w:val="5DA30A1C"/>
    <w:rsid w:val="5E3F6556"/>
    <w:rsid w:val="5E8C3C37"/>
    <w:rsid w:val="5EBC6D64"/>
    <w:rsid w:val="5F182B4A"/>
    <w:rsid w:val="5FD163AE"/>
    <w:rsid w:val="60057BEA"/>
    <w:rsid w:val="60B460AF"/>
    <w:rsid w:val="619747AF"/>
    <w:rsid w:val="621C336D"/>
    <w:rsid w:val="62EA5BC6"/>
    <w:rsid w:val="64126CC6"/>
    <w:rsid w:val="648F0582"/>
    <w:rsid w:val="6559245A"/>
    <w:rsid w:val="658C415A"/>
    <w:rsid w:val="66C53C4A"/>
    <w:rsid w:val="673B297E"/>
    <w:rsid w:val="678F323C"/>
    <w:rsid w:val="68233EA0"/>
    <w:rsid w:val="6AA57F27"/>
    <w:rsid w:val="6CC37EB5"/>
    <w:rsid w:val="6D1139EB"/>
    <w:rsid w:val="6E2A4841"/>
    <w:rsid w:val="6F3D1DEF"/>
    <w:rsid w:val="70F53717"/>
    <w:rsid w:val="710B1AD6"/>
    <w:rsid w:val="71276AD1"/>
    <w:rsid w:val="7160445C"/>
    <w:rsid w:val="71697143"/>
    <w:rsid w:val="716C6A50"/>
    <w:rsid w:val="7207397B"/>
    <w:rsid w:val="72C43B37"/>
    <w:rsid w:val="737D1DEA"/>
    <w:rsid w:val="748B2EA1"/>
    <w:rsid w:val="74AE0F56"/>
    <w:rsid w:val="766052A4"/>
    <w:rsid w:val="770403EE"/>
    <w:rsid w:val="771E190D"/>
    <w:rsid w:val="77832F9B"/>
    <w:rsid w:val="77E51300"/>
    <w:rsid w:val="784004D1"/>
    <w:rsid w:val="78725E9B"/>
    <w:rsid w:val="79302291"/>
    <w:rsid w:val="7B424553"/>
    <w:rsid w:val="7BB96559"/>
    <w:rsid w:val="7C304A31"/>
    <w:rsid w:val="7D9B14E2"/>
    <w:rsid w:val="7DB761A8"/>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napToGrid w:val="0"/>
      <w:spacing w:beforeLines="50" w:afterLines="50"/>
      <w:outlineLvl w:val="1"/>
    </w:pPr>
    <w:rPr>
      <w:rFonts w:eastAsia="楷体_GB2312" w:cs="MS Gothic"/>
      <w:b/>
      <w:snapToGrid w:val="0"/>
      <w:kern w:val="0"/>
      <w:sz w:val="32"/>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before="100" w:beforeAutospacing="1" w:after="100" w:afterAutospacing="1"/>
      <w:ind w:firstLine="602" w:firstLineChars="215"/>
    </w:pPr>
    <w:rPr>
      <w:color w:val="000000"/>
      <w:sz w:val="28"/>
    </w:rPr>
  </w:style>
  <w:style w:type="paragraph" w:styleId="5">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6">
    <w:name w:val="Body Text"/>
    <w:basedOn w:val="1"/>
    <w:next w:val="7"/>
    <w:qFormat/>
    <w:uiPriority w:val="99"/>
    <w:rPr>
      <w:sz w:val="28"/>
      <w:szCs w:val="28"/>
    </w:rPr>
  </w:style>
  <w:style w:type="paragraph" w:styleId="7">
    <w:name w:val="Body Text 2"/>
    <w:basedOn w:val="1"/>
    <w:qFormat/>
    <w:uiPriority w:val="0"/>
    <w:rPr>
      <w:rFonts w:ascii="楷体_GB2312" w:eastAsia="楷体_GB2312"/>
      <w:sz w:val="28"/>
    </w:rPr>
  </w:style>
  <w:style w:type="paragraph" w:styleId="8">
    <w:name w:val="Body Text Indent"/>
    <w:basedOn w:val="1"/>
    <w:next w:val="9"/>
    <w:unhideWhenUsed/>
    <w:qFormat/>
    <w:uiPriority w:val="99"/>
    <w:pPr>
      <w:spacing w:after="120"/>
      <w:ind w:left="420" w:leftChars="200"/>
    </w:p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next w:val="13"/>
    <w:qFormat/>
    <w:uiPriority w:val="99"/>
    <w:pPr>
      <w:tabs>
        <w:tab w:val="center" w:pos="4153"/>
        <w:tab w:val="right" w:pos="8306"/>
      </w:tabs>
      <w:snapToGrid w:val="0"/>
    </w:pPr>
    <w:rPr>
      <w:sz w:val="18"/>
      <w:szCs w:val="18"/>
    </w:rPr>
  </w:style>
  <w:style w:type="paragraph" w:styleId="13">
    <w:name w:val="Normal (Web)"/>
    <w:basedOn w:val="1"/>
    <w:next w:val="14"/>
    <w:qFormat/>
    <w:uiPriority w:val="0"/>
    <w:pPr>
      <w:spacing w:before="100" w:beforeAutospacing="1" w:after="100" w:afterAutospacing="1"/>
      <w:jc w:val="left"/>
    </w:pPr>
    <w:rPr>
      <w:kern w:val="0"/>
      <w:sz w:val="24"/>
    </w:rPr>
  </w:style>
  <w:style w:type="paragraph" w:customStyle="1" w:styleId="14">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next w:val="1"/>
    <w:qFormat/>
    <w:uiPriority w:val="0"/>
    <w:pPr>
      <w:widowControl w:val="0"/>
      <w:spacing w:line="240" w:lineRule="auto"/>
      <w:ind w:left="200" w:hanging="200" w:hangingChars="200"/>
      <w:jc w:val="both"/>
      <w:textAlignment w:val="auto"/>
    </w:pPr>
    <w:rPr>
      <w:rFonts w:ascii="Times New Roman" w:hAnsi="Times New Roman" w:eastAsia="宋体" w:cs="Times New Roman"/>
      <w:color w:val="auto"/>
      <w:kern w:val="2"/>
      <w:sz w:val="28"/>
      <w:szCs w:val="24"/>
      <w:u w:val="none" w:color="auto"/>
      <w:lang w:val="en-US" w:eastAsia="zh-CN" w:bidi="ar-SA"/>
    </w:rPr>
  </w:style>
  <w:style w:type="paragraph" w:styleId="17">
    <w:name w:val="Body Text Indent 3"/>
    <w:basedOn w:val="1"/>
    <w:qFormat/>
    <w:uiPriority w:val="0"/>
    <w:pPr>
      <w:widowControl w:val="0"/>
      <w:ind w:firstLine="630"/>
      <w:jc w:val="both"/>
    </w:pPr>
    <w:rPr>
      <w:rFonts w:ascii="Times New Roman" w:hAnsi="Times New Roman" w:eastAsia="仿宋_GB2312" w:cs="Times New Roman"/>
      <w:kern w:val="2"/>
      <w:sz w:val="28"/>
      <w:szCs w:val="24"/>
      <w:lang w:val="en-US" w:eastAsia="zh-CN" w:bidi="ar-SA"/>
    </w:rPr>
  </w:style>
  <w:style w:type="paragraph" w:styleId="18">
    <w:name w:val="Body Text First Indent"/>
    <w:basedOn w:val="6"/>
    <w:qFormat/>
    <w:uiPriority w:val="0"/>
    <w:pPr>
      <w:spacing w:after="120"/>
      <w:ind w:firstLine="420" w:firstLineChars="100"/>
    </w:pPr>
  </w:style>
  <w:style w:type="paragraph" w:styleId="19">
    <w:name w:val="Body Text First Indent 2"/>
    <w:basedOn w:val="8"/>
    <w:next w:val="1"/>
    <w:unhideWhenUsed/>
    <w:qFormat/>
    <w:uiPriority w:val="99"/>
    <w:pPr>
      <w:ind w:firstLine="420" w:firstLineChars="200"/>
    </w:pPr>
  </w:style>
  <w:style w:type="paragraph" w:customStyle="1" w:styleId="22">
    <w:name w:val="a 正文"/>
    <w:basedOn w:val="1"/>
    <w:qFormat/>
    <w:uiPriority w:val="0"/>
    <w:pPr>
      <w:spacing w:line="460" w:lineRule="exact"/>
      <w:jc w:val="center"/>
    </w:pPr>
    <w:rPr>
      <w:b/>
      <w:kern w:val="0"/>
      <w:sz w:val="24"/>
      <w:szCs w:val="32"/>
      <w:lang w:eastAsia="en-US"/>
    </w:rPr>
  </w:style>
  <w:style w:type="paragraph" w:customStyle="1" w:styleId="23">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4">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5">
    <w:name w:val="Default"/>
    <w:next w:val="19"/>
    <w:qFormat/>
    <w:uiPriority w:val="0"/>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26">
    <w:name w:val="样式 标题 2"/>
    <w:basedOn w:val="4"/>
    <w:qFormat/>
    <w:uiPriority w:val="0"/>
    <w:pPr>
      <w:spacing w:beforeLines="0" w:afterLines="0"/>
    </w:pPr>
    <w:rPr>
      <w:rFonts w:ascii="Arial" w:hAnsi="Arial" w:eastAsia="宋体" w:cs="宋体"/>
      <w:snapToGrid/>
      <w:kern w:val="2"/>
      <w:szCs w:val="32"/>
      <w:lang w:val="zh-CN"/>
    </w:rPr>
  </w:style>
  <w:style w:type="paragraph" w:customStyle="1" w:styleId="2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0"/>
    <w:basedOn w:val="1"/>
    <w:qFormat/>
    <w:uiPriority w:val="0"/>
    <w:pPr>
      <w:widowControl/>
    </w:pPr>
    <w:rPr>
      <w:kern w:val="0"/>
      <w:szCs w:val="21"/>
    </w:rPr>
  </w:style>
  <w:style w:type="character" w:customStyle="1" w:styleId="29">
    <w:name w:val="批注框文本 字符"/>
    <w:basedOn w:val="21"/>
    <w:link w:val="11"/>
    <w:qFormat/>
    <w:uiPriority w:val="0"/>
    <w:rPr>
      <w:rFonts w:ascii="Calibri" w:hAnsi="Calibri"/>
      <w:kern w:val="2"/>
      <w:sz w:val="18"/>
      <w:szCs w:val="18"/>
    </w:rPr>
  </w:style>
  <w:style w:type="paragraph" w:customStyle="1" w:styleId="30">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1">
    <w:name w:val="表头 Char Char Char"/>
    <w:qFormat/>
    <w:uiPriority w:val="0"/>
    <w:rPr>
      <w:rFonts w:ascii="宋体" w:hAnsi="Tahoma" w:eastAsia="宋体"/>
      <w:snapToGrid w:val="0"/>
      <w:spacing w:val="6"/>
      <w:kern w:val="10"/>
      <w:sz w:val="24"/>
    </w:rPr>
  </w:style>
  <w:style w:type="paragraph" w:customStyle="1" w:styleId="32">
    <w:name w:val="表格居中"/>
    <w:basedOn w:val="33"/>
    <w:qFormat/>
    <w:uiPriority w:val="0"/>
    <w:pPr>
      <w:jc w:val="center"/>
    </w:pPr>
  </w:style>
  <w:style w:type="paragraph" w:customStyle="1" w:styleId="33">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618</Words>
  <Characters>742</Characters>
  <Lines>74</Lines>
  <Paragraphs>21</Paragraphs>
  <TotalTime>4</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2025-08-13T08:09:14Z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484F83A507C14574B5A4D5EBD65FB19A_13</vt:lpwstr>
  </property>
  <property fmtid="{D5CDD505-2E9C-101B-9397-08002B2CF9AE}" pid="4" name="KSOTemplateDocerSaveRecord">
    <vt:lpwstr>eyJoZGlkIjoiNDgzMjdiZTZhYWEwMDUyMzMwMzdhZWM2ZmNjMGMzMDkiLCJ1c2VySWQiOiI1NzcyNjAwMzgifQ==</vt:lpwstr>
  </property>
</Properties>
</file>