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40021C4C">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山东济菏高速石化油气管理有限公司沙河停车区第二加油站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w:t>
            </w:r>
            <w:r>
              <w:rPr>
                <w:rFonts w:hint="eastAsia"/>
                <w:color w:val="auto"/>
                <w:highlight w:val="none"/>
                <w:lang w:val="en-US" w:eastAsia="zh-CN"/>
              </w:rPr>
              <w:t>6台（停用1台）：2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台</w:t>
            </w:r>
            <w:r>
              <w:rPr>
                <w:rFonts w:hint="eastAsia"/>
                <w:color w:val="auto"/>
                <w:highlight w:val="none"/>
                <w:lang w:val="en-US" w:eastAsia="zh-CN"/>
              </w:rPr>
              <w:t>5</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lang w:val="en-US" w:eastAsia="zh-CN"/>
              </w:rPr>
              <w:t>停用1台</w:t>
            </w:r>
            <w:r>
              <w:rPr>
                <w:rFonts w:hint="eastAsia"/>
                <w:color w:val="auto"/>
                <w:highlight w:val="none"/>
                <w:lang w:eastAsia="zh-CN"/>
              </w:rPr>
              <w:t>），</w:t>
            </w:r>
            <w:r>
              <w:rPr>
                <w:rFonts w:hint="eastAsia"/>
                <w:color w:val="auto"/>
                <w:highlight w:val="none"/>
                <w:lang w:val="en-US" w:eastAsia="zh-CN"/>
              </w:rPr>
              <w:t>1台油气回收处理设备</w:t>
            </w:r>
            <w:r>
              <w:rPr>
                <w:rFonts w:hint="eastAsia"/>
                <w:color w:val="auto"/>
                <w:lang w:eastAsia="zh-CN"/>
              </w:rPr>
              <w:t>。</w:t>
            </w:r>
            <w:r>
              <w:rPr>
                <w:rFonts w:hint="eastAsia"/>
                <w:color w:val="auto"/>
                <w:lang w:val="en-US" w:eastAsia="zh-CN"/>
              </w:rPr>
              <w:t>加油站设置</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加油机（1台92#汽油，1台95#汽油，1台柴油</w:t>
            </w:r>
            <w:r>
              <w:rPr>
                <w:rFonts w:hint="eastAsia" w:ascii="宋体" w:hAnsi="宋体" w:cs="宋体"/>
                <w:bCs/>
                <w:color w:val="auto"/>
                <w:highlight w:val="none"/>
                <w:lang w:eastAsia="zh-CN"/>
              </w:rPr>
              <w:t>）</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2025.5.15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2025.5.25</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2025.5.26</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马琳琳、辛磊</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安全评价报告提交时间：2025.6.9</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3969"/>
      <w:bookmarkStart w:id="1" w:name="_Toc102634226"/>
      <w:bookmarkStart w:id="2" w:name="_Toc102634395"/>
      <w:bookmarkStart w:id="3" w:name="_Toc102633895"/>
      <w:bookmarkStart w:id="4" w:name="_Toc8295"/>
      <w:bookmarkStart w:id="5" w:name="_Toc15033742"/>
      <w:r>
        <w:rPr>
          <w:rFonts w:hint="eastAsia"/>
          <w:color w:val="auto"/>
          <w:highlight w:val="none"/>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highlight w:val="none"/>
        </w:rPr>
      </w:pPr>
      <w:bookmarkStart w:id="6" w:name="_Toc272364524"/>
      <w:bookmarkStart w:id="7" w:name="_Toc102633970"/>
      <w:bookmarkStart w:id="8" w:name="_Toc208733856"/>
      <w:bookmarkStart w:id="9" w:name="_Toc13779"/>
      <w:bookmarkStart w:id="10" w:name="_Toc102634396"/>
      <w:bookmarkStart w:id="11" w:name="_Toc30066"/>
      <w:bookmarkStart w:id="12" w:name="_Toc102633896"/>
      <w:bookmarkStart w:id="13" w:name="_Toc102634227"/>
      <w:bookmarkStart w:id="14" w:name="_Toc26504"/>
      <w:bookmarkStart w:id="15" w:name="_Toc15033743"/>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山东济菏高速石化油气管理有限公司沙河停车区第二加油站</w:t>
      </w:r>
      <w:r>
        <w:rPr>
          <w:rFonts w:hint="eastAsia" w:ascii="宋体" w:hAnsi="宋体" w:eastAsia="宋体" w:cs="宋体"/>
          <w:color w:val="auto"/>
          <w:sz w:val="28"/>
          <w:szCs w:val="28"/>
          <w:highlight w:val="none"/>
        </w:rPr>
        <w:t>位于</w:t>
      </w:r>
      <w:r>
        <w:rPr>
          <w:rFonts w:hint="eastAsia" w:ascii="宋体" w:hAnsi="宋体"/>
          <w:color w:val="auto"/>
          <w:sz w:val="28"/>
          <w:highlight w:val="none"/>
          <w:lang w:eastAsia="zh-CN"/>
        </w:rPr>
        <w:t>山东省济菏高速公路K103+570处西北侧（东平县沙河镇杨营村）</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w:t>
      </w:r>
      <w:r>
        <w:rPr>
          <w:rFonts w:hint="eastAsia" w:ascii="宋体" w:hAnsi="宋体"/>
          <w:color w:val="auto"/>
          <w:sz w:val="28"/>
          <w:szCs w:val="28"/>
          <w:highlight w:val="none"/>
          <w:lang w:val="en-US" w:eastAsia="zh-CN"/>
        </w:rPr>
        <w:t>北侧是</w:t>
      </w:r>
      <w:r>
        <w:rPr>
          <w:rFonts w:hint="eastAsia" w:ascii="宋体" w:hAnsi="宋体"/>
          <w:color w:val="auto"/>
          <w:sz w:val="28"/>
          <w:highlight w:val="none"/>
          <w:lang w:val="en-US" w:eastAsia="zh-CN"/>
        </w:rPr>
        <w:t>服务区停车场、服务区综合楼</w:t>
      </w:r>
      <w:r>
        <w:rPr>
          <w:rFonts w:hint="eastAsia" w:ascii="宋体" w:hAnsi="宋体"/>
          <w:color w:val="auto"/>
          <w:sz w:val="28"/>
          <w:szCs w:val="28"/>
          <w:highlight w:val="none"/>
          <w:lang w:val="en-US" w:eastAsia="zh-CN"/>
        </w:rPr>
        <w:t>，西侧是农田，南侧是树林，东</w:t>
      </w:r>
      <w:r>
        <w:rPr>
          <w:rFonts w:hint="eastAsia" w:ascii="宋体" w:hAnsi="宋体"/>
          <w:color w:val="auto"/>
          <w:sz w:val="28"/>
          <w:szCs w:val="28"/>
          <w:highlight w:val="none"/>
          <w:lang w:eastAsia="zh-CN"/>
        </w:rPr>
        <w:t>侧是</w:t>
      </w:r>
      <w:r>
        <w:rPr>
          <w:rFonts w:hint="eastAsia" w:ascii="宋体" w:hAnsi="宋体"/>
          <w:color w:val="auto"/>
          <w:sz w:val="28"/>
          <w:szCs w:val="28"/>
          <w:highlight w:val="none"/>
          <w:lang w:val="en-US" w:eastAsia="zh-CN"/>
        </w:rPr>
        <w:t>服务区停车场、济菏高速。</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w:t>
      </w:r>
      <w:r>
        <w:rPr>
          <w:rFonts w:hint="eastAsia" w:ascii="宋体" w:hAnsi="宋体" w:cs="宋体"/>
          <w:color w:val="auto"/>
          <w:sz w:val="28"/>
          <w:highlight w:val="none"/>
          <w:lang w:val="en-US" w:eastAsia="zh-CN"/>
        </w:rPr>
        <w:t>新增</w:t>
      </w:r>
      <w:r>
        <w:rPr>
          <w:rFonts w:hint="eastAsia" w:ascii="宋体" w:hAnsi="宋体" w:eastAsia="宋体" w:cs="宋体"/>
          <w:color w:val="auto"/>
          <w:sz w:val="28"/>
          <w:highlight w:val="none"/>
          <w:lang w:val="en-US" w:eastAsia="zh-CN"/>
        </w:rPr>
        <w:t>可燃气体探测器2套、</w:t>
      </w:r>
      <w:r>
        <w:rPr>
          <w:rFonts w:hint="eastAsia" w:ascii="宋体" w:hAnsi="宋体" w:cs="宋体"/>
          <w:color w:val="auto"/>
          <w:sz w:val="28"/>
          <w:highlight w:val="none"/>
          <w:lang w:val="en-US" w:eastAsia="zh-CN"/>
        </w:rPr>
        <w:t>更换2台加油机、停用1台50m³柴油储罐</w:t>
      </w:r>
      <w:r>
        <w:rPr>
          <w:rFonts w:hint="eastAsia" w:ascii="宋体" w:hAnsi="宋体" w:eastAsia="宋体" w:cs="宋体"/>
          <w:color w:val="auto"/>
          <w:sz w:val="28"/>
          <w:highlight w:val="none"/>
          <w:lang w:val="en-US" w:eastAsia="zh-CN"/>
        </w:rPr>
        <w:t>。</w:t>
      </w:r>
      <w:r>
        <w:rPr>
          <w:rFonts w:hint="eastAsia" w:ascii="宋体" w:hAnsi="宋体"/>
          <w:color w:val="auto"/>
          <w:sz w:val="28"/>
          <w:szCs w:val="28"/>
          <w:highlight w:val="none"/>
          <w:lang w:val="en-US" w:eastAsia="zh-CN"/>
        </w:rPr>
        <w:t>其余</w:t>
      </w:r>
      <w:r>
        <w:rPr>
          <w:rFonts w:hint="eastAsia" w:ascii="宋体" w:hAnsi="宋体" w:eastAsia="宋体" w:cs="宋体"/>
          <w:color w:val="auto"/>
          <w:sz w:val="28"/>
          <w:highlight w:val="none"/>
        </w:rPr>
        <w:t>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该加油站主要建有站房、罩棚、油罐区、加油区等。加油区在</w:t>
      </w:r>
      <w:r>
        <w:rPr>
          <w:rFonts w:hint="eastAsia" w:ascii="宋体" w:hAnsi="宋体" w:cs="宋体"/>
          <w:color w:val="auto"/>
          <w:kern w:val="2"/>
          <w:sz w:val="28"/>
          <w:szCs w:val="21"/>
          <w:highlight w:val="none"/>
          <w:lang w:val="en-US" w:eastAsia="zh-CN" w:bidi="ar-SA"/>
        </w:rPr>
        <w:t>站房东</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加油机（1台92#汽油，1台95#汽油，1台柴油</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95#汽油加油机为潜油泵式，其余</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站房南</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lang w:val="en-US" w:eastAsia="zh-CN"/>
        </w:rPr>
        <w:t>6台双层储罐（停用1台）：2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台</w:t>
      </w:r>
      <w:r>
        <w:rPr>
          <w:rFonts w:hint="eastAsia"/>
          <w:color w:val="auto"/>
          <w:highlight w:val="none"/>
          <w:lang w:val="en-US" w:eastAsia="zh-CN"/>
        </w:rPr>
        <w:t>5</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lang w:val="en-US" w:eastAsia="zh-CN"/>
        </w:rPr>
        <w:t>停用1台</w:t>
      </w:r>
      <w:r>
        <w:rPr>
          <w:rFonts w:hint="eastAsia"/>
          <w:color w:val="auto"/>
          <w:highlight w:val="none"/>
          <w:lang w:eastAsia="zh-CN"/>
        </w:rPr>
        <w:t>）</w:t>
      </w:r>
      <w:r>
        <w:rPr>
          <w:rFonts w:hint="eastAsia" w:ascii="宋体" w:hAnsi="宋体" w:eastAsia="宋体" w:cs="宋体"/>
          <w:color w:val="auto"/>
          <w:kern w:val="2"/>
          <w:sz w:val="28"/>
          <w:szCs w:val="21"/>
          <w:highlight w:val="none"/>
          <w:lang w:val="en-US" w:eastAsia="zh-CN" w:bidi="ar-SA"/>
        </w:rPr>
        <w:t>，</w:t>
      </w:r>
      <w:r>
        <w:rPr>
          <w:rFonts w:hint="eastAsia" w:ascii="宋体" w:hAnsi="宋体" w:cs="宋体"/>
          <w:color w:val="auto"/>
          <w:kern w:val="2"/>
          <w:sz w:val="28"/>
          <w:szCs w:val="21"/>
          <w:highlight w:val="none"/>
          <w:lang w:val="en-US" w:eastAsia="zh-CN" w:bidi="ar-SA"/>
        </w:rPr>
        <w:t>5</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北</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5</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南</w:t>
      </w:r>
      <w:r>
        <w:rPr>
          <w:rFonts w:hint="eastAsia" w:ascii="宋体" w:hAnsi="宋体" w:eastAsia="宋体" w:cs="宋体"/>
          <w:color w:val="auto"/>
          <w:kern w:val="2"/>
          <w:sz w:val="28"/>
          <w:szCs w:val="21"/>
          <w:highlight w:val="none"/>
          <w:lang w:val="en-US" w:eastAsia="zh-CN" w:bidi="ar-SA"/>
        </w:rPr>
        <w:t>侧，该站设有</w:t>
      </w:r>
      <w:r>
        <w:rPr>
          <w:rFonts w:hint="eastAsia" w:ascii="宋体" w:hAnsi="宋体" w:cs="宋体"/>
          <w:color w:val="auto"/>
          <w:kern w:val="2"/>
          <w:sz w:val="28"/>
          <w:szCs w:val="21"/>
          <w:highlight w:val="none"/>
          <w:lang w:val="en-US" w:eastAsia="zh-CN" w:bidi="ar-SA"/>
        </w:rPr>
        <w:t>三次油气回收系统（</w:t>
      </w:r>
      <w:r>
        <w:rPr>
          <w:rFonts w:hint="eastAsia" w:ascii="宋体" w:hAnsi="宋体" w:eastAsia="宋体" w:cs="宋体"/>
          <w:color w:val="auto"/>
          <w:kern w:val="2"/>
          <w:sz w:val="28"/>
          <w:szCs w:val="21"/>
          <w:highlight w:val="none"/>
          <w:lang w:val="en-US" w:eastAsia="zh-CN" w:bidi="ar-SA"/>
        </w:rPr>
        <w:t>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油气回收处理系统</w:t>
      </w:r>
      <w:r>
        <w:rPr>
          <w:rFonts w:hint="eastAsia" w:ascii="宋体" w:hAnsi="宋体" w:cs="宋体"/>
          <w:color w:val="auto"/>
          <w:kern w:val="2"/>
          <w:sz w:val="28"/>
          <w:szCs w:val="21"/>
          <w:highlight w:val="none"/>
          <w:lang w:val="en-US" w:eastAsia="zh-CN" w:bidi="ar-SA"/>
        </w:rPr>
        <w:t>）</w:t>
      </w:r>
      <w:r>
        <w:rPr>
          <w:rFonts w:hint="eastAsia" w:ascii="宋体" w:hAnsi="宋体"/>
          <w:color w:val="auto"/>
          <w:szCs w:val="28"/>
          <w:highlight w:val="none"/>
        </w:rPr>
        <w:t>；</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190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140</w:t>
      </w:r>
      <w:r>
        <w:rPr>
          <w:rFonts w:hint="eastAsia" w:ascii="宋体" w:hAnsi="宋体" w:eastAsia="宋体" w:cs="宋体"/>
          <w:color w:val="auto"/>
          <w:kern w:val="2"/>
          <w:sz w:val="28"/>
          <w:szCs w:val="21"/>
          <w:highlight w:val="none"/>
          <w:lang w:val="en-US" w:eastAsia="zh-CN" w:bidi="ar-SA"/>
        </w:rPr>
        <w:t>m³，该站属</w:t>
      </w:r>
      <w:r>
        <w:rPr>
          <w:rFonts w:hint="eastAsia" w:ascii="宋体" w:hAnsi="宋体" w:cs="宋体"/>
          <w:color w:val="auto"/>
          <w:kern w:val="2"/>
          <w:sz w:val="28"/>
          <w:szCs w:val="21"/>
          <w:highlight w:val="none"/>
          <w:lang w:val="en-US" w:eastAsia="zh-CN" w:bidi="ar-SA"/>
        </w:rPr>
        <w:t>二</w:t>
      </w:r>
      <w:r>
        <w:rPr>
          <w:rFonts w:hint="eastAsia" w:ascii="宋体" w:hAnsi="宋体" w:eastAsia="宋体" w:cs="宋体"/>
          <w:color w:val="auto"/>
          <w:kern w:val="2"/>
          <w:sz w:val="28"/>
          <w:szCs w:val="21"/>
          <w:highlight w:val="none"/>
          <w:lang w:val="en-US" w:eastAsia="zh-CN" w:bidi="ar-SA"/>
        </w:rPr>
        <w:t>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4</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4CECB850">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宋体" w:hAnsi="Times New Roman" w:eastAsia="宋体" w:cs="Times New Roman"/>
          <w:color w:val="auto"/>
          <w:sz w:val="28"/>
          <w:szCs w:val="28"/>
          <w:highlight w:val="none"/>
          <w:lang w:val="en-US" w:eastAsia="zh-CN" w:bidi="ar-SA"/>
        </w:rPr>
      </w:pPr>
      <w:r>
        <w:rPr>
          <w:rFonts w:hint="eastAsia" w:ascii="宋体" w:hAnsi="Times New Roman" w:eastAsia="宋体" w:cs="Times New Roman"/>
          <w:color w:val="auto"/>
          <w:sz w:val="28"/>
          <w:szCs w:val="28"/>
          <w:highlight w:val="none"/>
          <w:lang w:val="en-US" w:eastAsia="zh-CN" w:bidi="ar-SA"/>
        </w:rPr>
        <w:t>加油站于20</w:t>
      </w:r>
      <w:r>
        <w:rPr>
          <w:rFonts w:hint="eastAsia" w:ascii="宋体" w:cs="Times New Roman"/>
          <w:color w:val="auto"/>
          <w:sz w:val="28"/>
          <w:szCs w:val="28"/>
          <w:highlight w:val="none"/>
          <w:lang w:val="en-US" w:eastAsia="zh-CN" w:bidi="ar-SA"/>
        </w:rPr>
        <w:t>10</w:t>
      </w:r>
      <w:r>
        <w:rPr>
          <w:rFonts w:hint="eastAsia" w:ascii="宋体" w:hAnsi="Times New Roman" w:eastAsia="宋体" w:cs="Times New Roman"/>
          <w:color w:val="auto"/>
          <w:sz w:val="28"/>
          <w:szCs w:val="28"/>
          <w:highlight w:val="none"/>
          <w:lang w:val="en-US" w:eastAsia="zh-CN" w:bidi="ar-SA"/>
        </w:rPr>
        <w:t>年</w:t>
      </w:r>
      <w:r>
        <w:rPr>
          <w:rFonts w:hint="eastAsia" w:ascii="宋体" w:cs="Times New Roman"/>
          <w:color w:val="auto"/>
          <w:sz w:val="28"/>
          <w:szCs w:val="28"/>
          <w:highlight w:val="none"/>
          <w:lang w:val="en-US" w:eastAsia="zh-CN" w:bidi="ar-SA"/>
        </w:rPr>
        <w:t>2</w:t>
      </w:r>
      <w:r>
        <w:rPr>
          <w:rFonts w:hint="eastAsia" w:ascii="宋体" w:hAnsi="Times New Roman" w:eastAsia="宋体" w:cs="Times New Roman"/>
          <w:color w:val="auto"/>
          <w:sz w:val="28"/>
          <w:szCs w:val="28"/>
          <w:highlight w:val="none"/>
          <w:lang w:val="en-US" w:eastAsia="zh-CN" w:bidi="ar-SA"/>
        </w:rPr>
        <w:t>月</w:t>
      </w:r>
      <w:r>
        <w:rPr>
          <w:rFonts w:hint="eastAsia" w:ascii="宋体" w:cs="Times New Roman"/>
          <w:color w:val="auto"/>
          <w:sz w:val="28"/>
          <w:szCs w:val="28"/>
          <w:highlight w:val="none"/>
          <w:lang w:val="en-US" w:eastAsia="zh-CN" w:bidi="ar-SA"/>
        </w:rPr>
        <w:t>15日</w:t>
      </w:r>
      <w:r>
        <w:rPr>
          <w:rFonts w:hint="eastAsia" w:ascii="宋体" w:hAnsi="Times New Roman" w:eastAsia="宋体" w:cs="Times New Roman"/>
          <w:color w:val="auto"/>
          <w:sz w:val="28"/>
          <w:szCs w:val="28"/>
          <w:highlight w:val="none"/>
          <w:lang w:val="en-US" w:eastAsia="zh-CN" w:bidi="ar-SA"/>
        </w:rPr>
        <w:t>取得了</w:t>
      </w:r>
      <w:r>
        <w:rPr>
          <w:rFonts w:hint="eastAsia" w:ascii="宋体" w:cs="Times New Roman"/>
          <w:color w:val="auto"/>
          <w:sz w:val="28"/>
          <w:szCs w:val="28"/>
          <w:highlight w:val="none"/>
          <w:lang w:val="en-US" w:eastAsia="zh-CN" w:bidi="ar-SA"/>
        </w:rPr>
        <w:t>泰安市公安消防分局出具的</w:t>
      </w:r>
      <w:r>
        <w:rPr>
          <w:rFonts w:hint="eastAsia" w:ascii="宋体"/>
          <w:color w:val="auto"/>
          <w:sz w:val="28"/>
          <w:szCs w:val="28"/>
          <w:highlight w:val="none"/>
        </w:rPr>
        <w:t>《</w:t>
      </w:r>
      <w:r>
        <w:rPr>
          <w:rFonts w:hint="eastAsia" w:ascii="宋体"/>
          <w:color w:val="auto"/>
          <w:sz w:val="28"/>
          <w:szCs w:val="28"/>
          <w:highlight w:val="none"/>
          <w:lang w:val="en-US" w:eastAsia="zh-CN"/>
        </w:rPr>
        <w:t>建设工程消防验收意见书</w:t>
      </w:r>
      <w:r>
        <w:rPr>
          <w:rFonts w:hint="eastAsia" w:ascii="宋体"/>
          <w:color w:val="auto"/>
          <w:sz w:val="28"/>
          <w:szCs w:val="28"/>
          <w:highlight w:val="none"/>
        </w:rPr>
        <w:t>》</w:t>
      </w:r>
      <w:r>
        <w:rPr>
          <w:rFonts w:hint="eastAsia" w:ascii="宋体"/>
          <w:color w:val="auto"/>
          <w:sz w:val="28"/>
          <w:szCs w:val="28"/>
          <w:highlight w:val="none"/>
          <w:lang w:eastAsia="zh-CN"/>
        </w:rPr>
        <w:t>，</w:t>
      </w:r>
      <w:r>
        <w:rPr>
          <w:rFonts w:hint="eastAsia" w:ascii="宋体"/>
          <w:color w:val="auto"/>
          <w:sz w:val="28"/>
          <w:szCs w:val="28"/>
          <w:highlight w:val="none"/>
          <w:lang w:val="en-US" w:eastAsia="zh-CN"/>
        </w:rPr>
        <w:t>意见书编号：泰公消验[2010]第009号，</w:t>
      </w:r>
      <w:r>
        <w:rPr>
          <w:rFonts w:hint="eastAsia" w:ascii="宋体" w:cs="Times New Roman"/>
          <w:color w:val="auto"/>
          <w:sz w:val="28"/>
          <w:szCs w:val="28"/>
          <w:highlight w:val="none"/>
          <w:lang w:val="en-US" w:eastAsia="zh-CN" w:bidi="ar-SA"/>
        </w:rPr>
        <w:t>结论为：验收合格，同意使用，</w:t>
      </w:r>
      <w:r>
        <w:rPr>
          <w:rFonts w:hint="eastAsia" w:ascii="宋体" w:hAnsi="Times New Roman" w:eastAsia="宋体" w:cs="Times New Roman"/>
          <w:color w:val="auto"/>
          <w:sz w:val="28"/>
          <w:szCs w:val="28"/>
          <w:highlight w:val="none"/>
          <w:lang w:val="en-US" w:eastAsia="zh-CN" w:bidi="ar-SA"/>
        </w:rPr>
        <w:t>详见附件。</w:t>
      </w:r>
    </w:p>
    <w:p w14:paraId="19C997EE">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2</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25</w:t>
      </w:r>
      <w:r>
        <w:rPr>
          <w:rFonts w:hint="eastAsia" w:ascii="宋体"/>
          <w:color w:val="auto"/>
          <w:sz w:val="28"/>
          <w:szCs w:val="28"/>
          <w:highlight w:val="none"/>
        </w:rPr>
        <w:t>日换发了《危险化学品经营许可证》，证书编号：鲁泰危化经[20</w:t>
      </w:r>
      <w:r>
        <w:rPr>
          <w:rFonts w:hint="eastAsia" w:ascii="宋体"/>
          <w:color w:val="auto"/>
          <w:sz w:val="28"/>
          <w:szCs w:val="28"/>
          <w:highlight w:val="none"/>
          <w:lang w:val="en-US" w:eastAsia="zh-CN"/>
        </w:rPr>
        <w:t>22</w:t>
      </w:r>
      <w:r>
        <w:rPr>
          <w:rFonts w:hint="eastAsia" w:ascii="宋体"/>
          <w:color w:val="auto"/>
          <w:sz w:val="28"/>
          <w:szCs w:val="28"/>
          <w:highlight w:val="none"/>
        </w:rPr>
        <w:t>]000</w:t>
      </w:r>
      <w:r>
        <w:rPr>
          <w:rFonts w:hint="eastAsia" w:ascii="宋体"/>
          <w:color w:val="auto"/>
          <w:sz w:val="28"/>
          <w:szCs w:val="28"/>
          <w:highlight w:val="none"/>
          <w:lang w:val="en-US" w:eastAsia="zh-CN"/>
        </w:rPr>
        <w:t>139</w:t>
      </w:r>
      <w:r>
        <w:rPr>
          <w:rFonts w:hint="eastAsia" w:ascii="宋体"/>
          <w:color w:val="auto"/>
          <w:sz w:val="28"/>
          <w:szCs w:val="28"/>
          <w:highlight w:val="none"/>
        </w:rPr>
        <w:t>号，证书有效期至202</w:t>
      </w:r>
      <w:r>
        <w:rPr>
          <w:rFonts w:hint="eastAsia" w:ascii="宋体"/>
          <w:color w:val="auto"/>
          <w:sz w:val="28"/>
          <w:szCs w:val="28"/>
          <w:highlight w:val="none"/>
          <w:lang w:val="en-US" w:eastAsia="zh-CN"/>
        </w:rPr>
        <w:t>5</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25</w:t>
      </w:r>
      <w:r>
        <w:rPr>
          <w:rFonts w:hint="eastAsia" w:ascii="宋体"/>
          <w:color w:val="auto"/>
          <w:sz w:val="28"/>
          <w:szCs w:val="28"/>
          <w:highlight w:val="none"/>
        </w:rPr>
        <w:t>日，证书见附件。</w:t>
      </w:r>
    </w:p>
    <w:p w14:paraId="2E114903">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4</w:t>
      </w:r>
      <w:r>
        <w:rPr>
          <w:rFonts w:ascii="宋体"/>
          <w:color w:val="auto"/>
          <w:sz w:val="28"/>
          <w:szCs w:val="28"/>
          <w:highlight w:val="none"/>
        </w:rPr>
        <w:t>年</w:t>
      </w:r>
      <w:r>
        <w:rPr>
          <w:rFonts w:hint="eastAsia" w:ascii="宋体"/>
          <w:color w:val="auto"/>
          <w:sz w:val="28"/>
          <w:szCs w:val="28"/>
          <w:highlight w:val="none"/>
          <w:lang w:val="en-US" w:eastAsia="zh-CN"/>
        </w:rPr>
        <w:t>03</w:t>
      </w:r>
      <w:r>
        <w:rPr>
          <w:rFonts w:ascii="宋体"/>
          <w:color w:val="auto"/>
          <w:sz w:val="28"/>
          <w:szCs w:val="28"/>
          <w:highlight w:val="none"/>
        </w:rPr>
        <w:t>月</w:t>
      </w:r>
      <w:r>
        <w:rPr>
          <w:rFonts w:hint="eastAsia" w:ascii="宋体"/>
          <w:color w:val="auto"/>
          <w:sz w:val="28"/>
          <w:szCs w:val="28"/>
          <w:highlight w:val="none"/>
          <w:lang w:val="en-US" w:eastAsia="zh-CN"/>
        </w:rPr>
        <w:t>21</w:t>
      </w:r>
      <w:r>
        <w:rPr>
          <w:rFonts w:ascii="宋体"/>
          <w:color w:val="auto"/>
          <w:sz w:val="28"/>
          <w:szCs w:val="28"/>
          <w:highlight w:val="none"/>
        </w:rPr>
        <w:t>日</w:t>
      </w:r>
      <w:r>
        <w:rPr>
          <w:rFonts w:hint="eastAsia" w:ascii="宋体"/>
          <w:color w:val="auto"/>
          <w:sz w:val="28"/>
          <w:szCs w:val="28"/>
          <w:highlight w:val="none"/>
        </w:rPr>
        <w:t>换发了</w:t>
      </w:r>
      <w:r>
        <w:rPr>
          <w:rFonts w:ascii="宋体"/>
          <w:color w:val="auto"/>
          <w:sz w:val="28"/>
          <w:szCs w:val="28"/>
          <w:highlight w:val="none"/>
        </w:rPr>
        <w:t>《成品油零售经营批准证书》，证书编号：</w:t>
      </w:r>
      <w:r>
        <w:rPr>
          <w:rFonts w:hint="eastAsia" w:ascii="宋体"/>
          <w:color w:val="auto"/>
          <w:sz w:val="28"/>
          <w:szCs w:val="28"/>
          <w:highlight w:val="none"/>
        </w:rPr>
        <w:t>鲁油零售证书第37090</w:t>
      </w:r>
      <w:r>
        <w:rPr>
          <w:rFonts w:hint="eastAsia" w:ascii="宋体"/>
          <w:color w:val="auto"/>
          <w:sz w:val="28"/>
          <w:szCs w:val="28"/>
          <w:highlight w:val="none"/>
          <w:lang w:val="en-US" w:eastAsia="zh-CN"/>
        </w:rPr>
        <w:t>0005009</w:t>
      </w:r>
      <w:r>
        <w:rPr>
          <w:rFonts w:ascii="宋体"/>
          <w:color w:val="auto"/>
          <w:sz w:val="28"/>
          <w:szCs w:val="28"/>
          <w:highlight w:val="none"/>
        </w:rPr>
        <w:t>号</w:t>
      </w:r>
      <w:r>
        <w:rPr>
          <w:rFonts w:hint="eastAsia" w:ascii="宋体"/>
          <w:color w:val="auto"/>
          <w:sz w:val="28"/>
          <w:szCs w:val="28"/>
          <w:highlight w:val="none"/>
        </w:rPr>
        <w:t>，证书有效期至202</w:t>
      </w:r>
      <w:r>
        <w:rPr>
          <w:rFonts w:hint="eastAsia" w:ascii="宋体"/>
          <w:color w:val="auto"/>
          <w:sz w:val="28"/>
          <w:szCs w:val="28"/>
          <w:highlight w:val="none"/>
          <w:lang w:val="en-US" w:eastAsia="zh-CN"/>
        </w:rPr>
        <w:t>9</w:t>
      </w:r>
      <w:r>
        <w:rPr>
          <w:rFonts w:hint="eastAsia" w:ascii="宋体"/>
          <w:color w:val="auto"/>
          <w:sz w:val="28"/>
          <w:szCs w:val="28"/>
          <w:highlight w:val="none"/>
        </w:rPr>
        <w:t>年</w:t>
      </w:r>
      <w:r>
        <w:rPr>
          <w:rFonts w:hint="eastAsia" w:ascii="宋体"/>
          <w:color w:val="auto"/>
          <w:sz w:val="28"/>
          <w:szCs w:val="28"/>
          <w:highlight w:val="none"/>
          <w:lang w:val="en-US" w:eastAsia="zh-CN"/>
        </w:rPr>
        <w:t>03</w:t>
      </w:r>
      <w:r>
        <w:rPr>
          <w:rFonts w:hint="eastAsia" w:ascii="宋体"/>
          <w:color w:val="auto"/>
          <w:sz w:val="28"/>
          <w:szCs w:val="28"/>
          <w:highlight w:val="none"/>
        </w:rPr>
        <w:t>月</w:t>
      </w:r>
      <w:r>
        <w:rPr>
          <w:rFonts w:hint="eastAsia" w:ascii="宋体"/>
          <w:color w:val="auto"/>
          <w:sz w:val="28"/>
          <w:szCs w:val="28"/>
          <w:highlight w:val="none"/>
          <w:lang w:val="en-US" w:eastAsia="zh-CN"/>
        </w:rPr>
        <w:t>21</w:t>
      </w:r>
      <w:r>
        <w:rPr>
          <w:rFonts w:hint="eastAsia" w:ascii="宋体"/>
          <w:color w:val="auto"/>
          <w:sz w:val="28"/>
          <w:szCs w:val="28"/>
          <w:highlight w:val="none"/>
        </w:rPr>
        <w:t>日，证书见附件</w:t>
      </w:r>
      <w:r>
        <w:rPr>
          <w:rFonts w:ascii="宋体"/>
          <w:color w:val="auto"/>
          <w:sz w:val="28"/>
          <w:szCs w:val="28"/>
          <w:highlight w:val="none"/>
        </w:rPr>
        <w:t>。</w:t>
      </w:r>
    </w:p>
    <w:p w14:paraId="54C29F02">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w:t>
      </w:r>
      <w:r>
        <w:rPr>
          <w:rFonts w:hint="eastAsia" w:ascii="宋体"/>
          <w:color w:val="auto"/>
          <w:highlight w:val="none"/>
          <w:lang w:val="en-US" w:eastAsia="zh-CN"/>
        </w:rPr>
        <w:t>4</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19</w:t>
      </w:r>
      <w:r>
        <w:rPr>
          <w:rFonts w:hint="eastAsia" w:ascii="宋体"/>
          <w:color w:val="auto"/>
          <w:highlight w:val="none"/>
        </w:rPr>
        <w:t>日至202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18</w:t>
      </w:r>
      <w:r>
        <w:rPr>
          <w:rFonts w:hint="eastAsia" w:ascii="宋体"/>
          <w:color w:val="auto"/>
          <w:highlight w:val="none"/>
        </w:rPr>
        <w:t>日，详见附件。</w:t>
      </w:r>
    </w:p>
    <w:p w14:paraId="2664805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该站编制了生产安全事故应急预案，于202</w:t>
      </w:r>
      <w:r>
        <w:rPr>
          <w:rFonts w:hint="eastAsia" w:ascii="宋体" w:hAnsi="宋体"/>
          <w:color w:val="auto"/>
          <w:sz w:val="28"/>
          <w:szCs w:val="28"/>
          <w:highlight w:val="none"/>
          <w:lang w:val="en-US" w:eastAsia="zh-CN"/>
        </w:rPr>
        <w:t>4年10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24</w:t>
      </w:r>
      <w:r>
        <w:rPr>
          <w:rFonts w:hint="eastAsia" w:ascii="宋体" w:hAnsi="宋体"/>
          <w:color w:val="auto"/>
          <w:sz w:val="28"/>
          <w:szCs w:val="28"/>
          <w:highlight w:val="none"/>
        </w:rPr>
        <w:t>日在</w:t>
      </w:r>
      <w:r>
        <w:rPr>
          <w:rFonts w:hint="eastAsia" w:ascii="宋体" w:hAnsi="宋体"/>
          <w:color w:val="auto"/>
          <w:sz w:val="28"/>
          <w:szCs w:val="28"/>
          <w:highlight w:val="none"/>
          <w:lang w:val="en-US" w:eastAsia="zh-CN"/>
        </w:rPr>
        <w:t>东平县</w:t>
      </w:r>
      <w:r>
        <w:rPr>
          <w:rFonts w:hint="eastAsia" w:ascii="宋体" w:hAnsi="宋体"/>
          <w:color w:val="auto"/>
          <w:sz w:val="28"/>
          <w:szCs w:val="28"/>
          <w:highlight w:val="none"/>
        </w:rPr>
        <w:t>应急管理局进行了备案，备案编号为：3709</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038</w:t>
      </w:r>
      <w:r>
        <w:rPr>
          <w:rFonts w:hint="eastAsia" w:ascii="宋体" w:hAnsi="宋体"/>
          <w:color w:val="auto"/>
          <w:sz w:val="28"/>
          <w:szCs w:val="28"/>
          <w:highlight w:val="none"/>
        </w:rPr>
        <w:t>，详见附件。</w:t>
      </w:r>
    </w:p>
    <w:p w14:paraId="1D5CDAC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山东济菏高速石化油气管理有限公司沙河停车区第一加油站</w:t>
      </w:r>
      <w:r>
        <w:rPr>
          <w:rFonts w:hint="eastAsia" w:ascii="宋体" w:hAnsi="宋体"/>
          <w:color w:val="auto"/>
          <w:sz w:val="28"/>
          <w:szCs w:val="28"/>
          <w:highlight w:val="none"/>
        </w:rPr>
        <w:t>于</w:t>
      </w:r>
      <w:r>
        <w:rPr>
          <w:rFonts w:hint="eastAsia" w:ascii="宋体" w:hAnsi="宋体"/>
          <w:color w:val="auto"/>
          <w:sz w:val="28"/>
          <w:szCs w:val="28"/>
          <w:highlight w:val="none"/>
          <w:lang w:val="en-US"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1月1日与山东鲁畅高速公路服务区管理有限公司签定了</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安全生产管理协议书（土地使用权租赁）</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协议编号：202504，责任期限至2025年12月31，</w:t>
      </w:r>
      <w:r>
        <w:rPr>
          <w:rFonts w:hint="eastAsia" w:ascii="宋体" w:hAnsi="宋体"/>
          <w:color w:val="auto"/>
          <w:sz w:val="28"/>
          <w:szCs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szCs w:val="28"/>
          <w:highlight w:val="none"/>
        </w:rPr>
        <w:t>山东天科防雷工程有限公司对该站进行了相关防雷设施的检测，出具了合格的《雷电防护装置定期检测报告》，报告编号：</w:t>
      </w:r>
      <w:r>
        <w:rPr>
          <w:rFonts w:hint="eastAsia" w:ascii="宋体" w:hAnsi="宋体"/>
          <w:color w:val="auto"/>
          <w:sz w:val="28"/>
          <w:szCs w:val="28"/>
          <w:highlight w:val="none"/>
          <w:lang w:val="en-US" w:eastAsia="zh-CN"/>
        </w:rPr>
        <w:t>（1122016001）[</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5]D-2B0091</w:t>
      </w:r>
      <w:r>
        <w:rPr>
          <w:rFonts w:hint="eastAsia" w:ascii="宋体" w:hAnsi="宋体"/>
          <w:color w:val="auto"/>
          <w:sz w:val="28"/>
          <w:szCs w:val="28"/>
          <w:highlight w:val="none"/>
        </w:rPr>
        <w:t>号，防雷类别：二类，结论为“合格：</w:t>
      </w:r>
      <w:r>
        <w:rPr>
          <w:rFonts w:hint="eastAsia" w:ascii="宋体" w:hAnsi="宋体"/>
          <w:color w:val="auto"/>
          <w:sz w:val="28"/>
          <w:szCs w:val="28"/>
          <w:highlight w:val="none"/>
          <w:lang w:val="en-US" w:eastAsia="zh-CN"/>
        </w:rPr>
        <w:t>加油站</w:t>
      </w:r>
      <w:r>
        <w:rPr>
          <w:rFonts w:hint="eastAsia" w:ascii="宋体" w:hAnsi="宋体"/>
          <w:color w:val="auto"/>
          <w:sz w:val="28"/>
          <w:szCs w:val="28"/>
          <w:highlight w:val="none"/>
        </w:rPr>
        <w:t>雷电防</w:t>
      </w:r>
      <w:r>
        <w:rPr>
          <w:rFonts w:hint="eastAsia" w:ascii="宋体" w:hAnsi="宋体"/>
          <w:color w:val="auto"/>
          <w:sz w:val="28"/>
          <w:highlight w:val="none"/>
        </w:rPr>
        <w:t>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23</w:t>
      </w:r>
      <w:r>
        <w:rPr>
          <w:rFonts w:hint="eastAsia" w:ascii="宋体" w:hAnsi="宋体"/>
          <w:color w:val="auto"/>
          <w:sz w:val="28"/>
          <w:highlight w:val="none"/>
        </w:rPr>
        <w:t>日，检测报告见附件。</w:t>
      </w:r>
    </w:p>
    <w:p w14:paraId="54138E6D">
      <w:pPr>
        <w:pStyle w:val="17"/>
        <w:keepLines w:val="0"/>
        <w:widowControl w:val="0"/>
        <w:shd w:val="clear"/>
        <w:wordWrap/>
        <w:overflowPunct/>
        <w:topLinePunct w:val="0"/>
        <w:bidi w:val="0"/>
        <w:adjustRightInd w:val="0"/>
        <w:snapToGrid w:val="0"/>
        <w:spacing w:line="360" w:lineRule="auto"/>
        <w:ind w:firstLine="560"/>
        <w:rPr>
          <w:rFonts w:hint="default" w:ascii="宋体"/>
          <w:color w:val="auto"/>
          <w:highlight w:val="none"/>
          <w:shd w:val="clear" w:fill="FFC000"/>
          <w:lang w:val="en-US"/>
        </w:rPr>
      </w:pPr>
      <w:r>
        <w:rPr>
          <w:rFonts w:hint="eastAsia" w:ascii="宋体"/>
          <w:color w:val="auto"/>
          <w:highlight w:val="none"/>
          <w:shd w:val="clear"/>
          <w:lang w:val="en-US" w:eastAsia="zh-CN"/>
        </w:rPr>
        <w:t>河南驰诚电气股份有限公司对该站的可燃气体检测报警器进行了相关检验，出具了合格的《检验报告》，检验结果：合格。检验日期为2025年4月，有效期至2026年4月。</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6</w:t>
      </w:r>
      <w:r>
        <w:rPr>
          <w:rFonts w:hint="eastAsia" w:ascii="宋体"/>
          <w:color w:val="auto"/>
          <w:highlight w:val="none"/>
        </w:rPr>
        <w:t>具，</w:t>
      </w:r>
      <w:r>
        <w:rPr>
          <w:rFonts w:hint="eastAsia" w:ascii="宋体"/>
          <w:color w:val="auto"/>
          <w:highlight w:val="none"/>
          <w:lang w:val="en-US" w:eastAsia="zh-CN"/>
        </w:rPr>
        <w:t>8</w:t>
      </w:r>
      <w:r>
        <w:rPr>
          <w:rFonts w:hint="eastAsia" w:ascii="宋体"/>
          <w:color w:val="auto"/>
          <w:highlight w:val="none"/>
        </w:rPr>
        <w:t>kg手提式干粉灭火器</w:t>
      </w:r>
      <w:r>
        <w:rPr>
          <w:rFonts w:hint="eastAsia" w:ascii="宋体"/>
          <w:color w:val="auto"/>
          <w:highlight w:val="none"/>
          <w:lang w:val="en-US" w:eastAsia="zh-CN"/>
        </w:rPr>
        <w:t>8</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6</w:t>
      </w:r>
      <w:r>
        <w:rPr>
          <w:rFonts w:hint="eastAsia" w:ascii="宋体"/>
          <w:color w:val="auto"/>
          <w:highlight w:val="none"/>
        </w:rPr>
        <w:t>具，灭火毯</w:t>
      </w:r>
      <w:r>
        <w:rPr>
          <w:rFonts w:hint="eastAsia" w:ascii="宋体"/>
          <w:color w:val="auto"/>
          <w:highlight w:val="none"/>
          <w:lang w:val="en-US" w:eastAsia="zh-CN"/>
        </w:rPr>
        <w:t>10</w:t>
      </w:r>
      <w:r>
        <w:rPr>
          <w:rFonts w:hint="eastAsia" w:ascii="宋体"/>
          <w:color w:val="auto"/>
          <w:highlight w:val="none"/>
        </w:rPr>
        <w:t>块，消防锨</w:t>
      </w:r>
      <w:r>
        <w:rPr>
          <w:rFonts w:hint="eastAsia" w:ascii="宋体"/>
          <w:color w:val="auto"/>
          <w:highlight w:val="none"/>
          <w:lang w:val="en-US" w:eastAsia="zh-CN"/>
        </w:rPr>
        <w:t>6</w:t>
      </w:r>
      <w:r>
        <w:rPr>
          <w:rFonts w:hint="eastAsia" w:ascii="宋体"/>
          <w:color w:val="auto"/>
          <w:highlight w:val="none"/>
        </w:rPr>
        <w:t>把，消防桶</w:t>
      </w:r>
      <w:r>
        <w:rPr>
          <w:rFonts w:hint="eastAsia" w:ascii="宋体"/>
          <w:color w:val="auto"/>
          <w:highlight w:val="none"/>
          <w:lang w:val="en-US" w:eastAsia="zh-CN"/>
        </w:rPr>
        <w:t>6</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1033DE9C">
      <w:pPr>
        <w:pStyle w:val="18"/>
        <w:spacing w:before="312" w:after="312"/>
        <w:rPr>
          <w:color w:val="auto"/>
        </w:rPr>
      </w:pPr>
      <w:r>
        <w:rPr>
          <w:rFonts w:hint="eastAsia"/>
          <w:color w:val="auto"/>
        </w:rPr>
        <w:t>第四章 评价单元划分与评价方法选择</w:t>
      </w:r>
    </w:p>
    <w:p w14:paraId="30EFAFE2">
      <w:pPr>
        <w:pStyle w:val="4"/>
        <w:spacing w:before="312" w:beforeLines="100" w:after="312" w:afterLines="100" w:line="360" w:lineRule="auto"/>
        <w:ind w:firstLine="0"/>
        <w:rPr>
          <w:color w:val="auto"/>
        </w:rPr>
      </w:pPr>
      <w:bookmarkStart w:id="16" w:name="_Toc102633981"/>
      <w:bookmarkStart w:id="17" w:name="_Toc102634256"/>
      <w:bookmarkStart w:id="18" w:name="_Toc272364536"/>
      <w:bookmarkStart w:id="19" w:name="_Toc238007574"/>
      <w:bookmarkStart w:id="20" w:name="_Toc102633907"/>
      <w:bookmarkStart w:id="21" w:name="_Toc192907201"/>
      <w:bookmarkStart w:id="22" w:name="_Toc7829"/>
      <w:bookmarkStart w:id="23" w:name="_Toc198026273"/>
      <w:bookmarkStart w:id="24" w:name="_Toc102634407"/>
      <w:bookmarkStart w:id="25" w:name="_Toc23543"/>
      <w:bookmarkStart w:id="26" w:name="_Toc15033754"/>
      <w:bookmarkStart w:id="27" w:name="_Toc12643"/>
      <w:r>
        <w:rPr>
          <w:rFonts w:hint="eastAsia"/>
          <w:color w:val="auto"/>
        </w:rPr>
        <w:t>第一节 评价单元的划分</w:t>
      </w:r>
      <w:bookmarkEnd w:id="16"/>
      <w:bookmarkEnd w:id="17"/>
      <w:bookmarkEnd w:id="18"/>
      <w:bookmarkEnd w:id="19"/>
      <w:bookmarkEnd w:id="20"/>
      <w:bookmarkEnd w:id="21"/>
      <w:bookmarkEnd w:id="22"/>
      <w:bookmarkEnd w:id="23"/>
      <w:bookmarkEnd w:id="24"/>
      <w:bookmarkEnd w:id="25"/>
      <w:bookmarkEnd w:id="26"/>
      <w:bookmarkEnd w:id="27"/>
    </w:p>
    <w:p w14:paraId="763B4731">
      <w:pPr>
        <w:pStyle w:val="17"/>
        <w:widowControl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5B2717B0">
      <w:pPr>
        <w:pStyle w:val="22"/>
        <w:widowControl w:val="0"/>
        <w:adjustRightInd w:val="0"/>
        <w:snapToGrid w:val="0"/>
        <w:spacing w:line="360" w:lineRule="auto"/>
        <w:ind w:firstLine="560"/>
        <w:jc w:val="both"/>
        <w:rPr>
          <w:color w:val="auto"/>
        </w:rPr>
      </w:pPr>
      <w:bookmarkStart w:id="28" w:name="_Toc102634257"/>
      <w:r>
        <w:rPr>
          <w:rFonts w:hint="eastAsia"/>
          <w:color w:val="auto"/>
        </w:rPr>
        <w:t>一</w:t>
      </w:r>
      <w:r>
        <w:rPr>
          <w:color w:val="auto"/>
        </w:rPr>
        <w:t>、以危险有害因素的类别为主划分评价单元</w:t>
      </w:r>
      <w:bookmarkEnd w:id="28"/>
    </w:p>
    <w:p w14:paraId="05C4A291">
      <w:pPr>
        <w:pStyle w:val="17"/>
        <w:widowControl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639D502B">
      <w:pPr>
        <w:pStyle w:val="17"/>
        <w:widowControl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25196401">
      <w:pPr>
        <w:pStyle w:val="22"/>
        <w:widowControl w:val="0"/>
        <w:adjustRightInd w:val="0"/>
        <w:snapToGrid w:val="0"/>
        <w:spacing w:line="360" w:lineRule="auto"/>
        <w:ind w:firstLine="560"/>
        <w:jc w:val="both"/>
        <w:rPr>
          <w:color w:val="auto"/>
        </w:rPr>
      </w:pPr>
      <w:bookmarkStart w:id="29" w:name="_Toc102634258"/>
      <w:r>
        <w:rPr>
          <w:rFonts w:hint="eastAsia"/>
          <w:color w:val="auto"/>
        </w:rPr>
        <w:t>二</w:t>
      </w:r>
      <w:r>
        <w:rPr>
          <w:color w:val="auto"/>
        </w:rPr>
        <w:t>、以物质特征划分评价单元</w:t>
      </w:r>
      <w:bookmarkEnd w:id="29"/>
    </w:p>
    <w:p w14:paraId="5A1E40CB">
      <w:pPr>
        <w:pStyle w:val="17"/>
        <w:widowControl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55A8A20F">
      <w:pPr>
        <w:pStyle w:val="17"/>
        <w:widowControl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415DEC05">
      <w:pPr>
        <w:pStyle w:val="17"/>
        <w:widowControl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rPr>
        <w:t>四</w:t>
      </w:r>
      <w:r>
        <w:rPr>
          <w:rFonts w:ascii="宋体"/>
          <w:color w:val="auto"/>
        </w:rPr>
        <w:t>个单元：</w:t>
      </w:r>
    </w:p>
    <w:p w14:paraId="4B345C19">
      <w:pPr>
        <w:pStyle w:val="17"/>
        <w:widowControl w:val="0"/>
        <w:adjustRightInd w:val="0"/>
        <w:snapToGrid w:val="0"/>
        <w:spacing w:line="360" w:lineRule="auto"/>
        <w:ind w:firstLine="560"/>
        <w:rPr>
          <w:rFonts w:ascii="宋体"/>
          <w:color w:val="auto"/>
        </w:rPr>
      </w:pPr>
      <w:r>
        <w:rPr>
          <w:rFonts w:ascii="宋体"/>
          <w:color w:val="auto"/>
        </w:rPr>
        <w:t>1、安全管理；</w:t>
      </w:r>
    </w:p>
    <w:p w14:paraId="32BE1495">
      <w:pPr>
        <w:pStyle w:val="17"/>
        <w:widowControl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41286861">
      <w:pPr>
        <w:pStyle w:val="17"/>
        <w:widowControl w:val="0"/>
        <w:adjustRightInd w:val="0"/>
        <w:snapToGrid w:val="0"/>
        <w:spacing w:line="360" w:lineRule="auto"/>
        <w:ind w:firstLine="560"/>
        <w:rPr>
          <w:rFonts w:ascii="宋体"/>
          <w:color w:val="auto"/>
        </w:rPr>
      </w:pPr>
      <w:r>
        <w:rPr>
          <w:rFonts w:ascii="宋体"/>
          <w:color w:val="auto"/>
        </w:rPr>
        <w:t>3、加油工艺及设施；</w:t>
      </w:r>
    </w:p>
    <w:p w14:paraId="46391952">
      <w:pPr>
        <w:pStyle w:val="17"/>
        <w:widowControl w:val="0"/>
        <w:adjustRightInd w:val="0"/>
        <w:snapToGrid w:val="0"/>
        <w:spacing w:line="360" w:lineRule="auto"/>
        <w:ind w:firstLine="560"/>
        <w:rPr>
          <w:rFonts w:ascii="宋体"/>
          <w:color w:val="auto"/>
        </w:rPr>
      </w:pPr>
      <w:r>
        <w:rPr>
          <w:rFonts w:ascii="宋体"/>
          <w:color w:val="auto"/>
        </w:rPr>
        <w:t>4、其它安全设施</w:t>
      </w:r>
    </w:p>
    <w:p w14:paraId="5DA9EF16">
      <w:pPr>
        <w:pStyle w:val="4"/>
        <w:spacing w:before="312" w:beforeLines="100" w:after="312" w:afterLines="100" w:line="360" w:lineRule="auto"/>
        <w:ind w:firstLine="0"/>
        <w:rPr>
          <w:rFonts w:hint="eastAsia"/>
          <w:color w:val="auto"/>
        </w:rPr>
      </w:pPr>
      <w:bookmarkStart w:id="30" w:name="_Toc102633982"/>
      <w:bookmarkStart w:id="31" w:name="_Toc102634408"/>
      <w:bookmarkStart w:id="32" w:name="_Toc22810"/>
      <w:bookmarkStart w:id="33" w:name="_Toc102633908"/>
      <w:bookmarkStart w:id="34" w:name="_Toc102634259"/>
    </w:p>
    <w:p w14:paraId="178D2E97">
      <w:pPr>
        <w:pStyle w:val="4"/>
        <w:spacing w:before="312" w:beforeLines="100" w:after="312" w:afterLines="100" w:line="360" w:lineRule="auto"/>
        <w:ind w:firstLine="0"/>
        <w:rPr>
          <w:color w:val="auto"/>
        </w:rPr>
      </w:pPr>
      <w:r>
        <w:rPr>
          <w:rFonts w:hint="eastAsia"/>
          <w:color w:val="auto"/>
        </w:rPr>
        <w:t>第二节 评价方法的选择</w:t>
      </w:r>
      <w:bookmarkEnd w:id="30"/>
      <w:bookmarkEnd w:id="31"/>
      <w:bookmarkEnd w:id="32"/>
      <w:bookmarkEnd w:id="33"/>
      <w:bookmarkEnd w:id="34"/>
    </w:p>
    <w:p w14:paraId="1E411B7E">
      <w:pPr>
        <w:pStyle w:val="17"/>
        <w:widowControl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42C872EF">
      <w:pPr>
        <w:pStyle w:val="17"/>
        <w:widowControl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1EEE2394">
      <w:pPr>
        <w:pStyle w:val="17"/>
        <w:widowControl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泰安市岱岳区山口平安加油站</w:t>
      </w:r>
      <w:r>
        <w:rPr>
          <w:rFonts w:ascii="宋体"/>
          <w:color w:val="auto"/>
        </w:rPr>
        <w:t>的具体情况，选用安全检查表、事故树法及危险度评价法对加油站进行评价。具体应用如下表所示：</w:t>
      </w:r>
    </w:p>
    <w:p w14:paraId="30D795B2">
      <w:pPr>
        <w:pStyle w:val="19"/>
        <w:widowControl w:val="0"/>
        <w:adjustRightInd w:val="0"/>
        <w:snapToGrid w:val="0"/>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53FBF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59969897">
            <w:pPr>
              <w:pStyle w:val="20"/>
              <w:widowControl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0168CB46">
            <w:pPr>
              <w:pStyle w:val="20"/>
              <w:widowControl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2C4AFDEB">
            <w:pPr>
              <w:pStyle w:val="20"/>
              <w:widowControl w:val="0"/>
              <w:adjustRightInd w:val="0"/>
              <w:snapToGrid w:val="0"/>
              <w:spacing w:line="360" w:lineRule="auto"/>
              <w:rPr>
                <w:rFonts w:ascii="宋体"/>
                <w:b/>
                <w:color w:val="auto"/>
              </w:rPr>
            </w:pPr>
            <w:r>
              <w:rPr>
                <w:rFonts w:ascii="宋体"/>
                <w:b/>
                <w:color w:val="auto"/>
                <w:lang w:val="en-GB"/>
              </w:rPr>
              <w:t>评价方法</w:t>
            </w:r>
          </w:p>
        </w:tc>
      </w:tr>
      <w:tr w14:paraId="31037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03509717">
            <w:pPr>
              <w:pStyle w:val="20"/>
              <w:widowControl w:val="0"/>
              <w:adjustRightInd w:val="0"/>
              <w:snapToGrid w:val="0"/>
              <w:spacing w:line="360" w:lineRule="auto"/>
              <w:rPr>
                <w:rFonts w:ascii="宋体"/>
                <w:b/>
                <w:color w:val="auto"/>
                <w:lang w:val="en-GB"/>
              </w:rPr>
            </w:pPr>
          </w:p>
        </w:tc>
        <w:tc>
          <w:tcPr>
            <w:tcW w:w="1285" w:type="pct"/>
            <w:vMerge w:val="continue"/>
            <w:vAlign w:val="center"/>
          </w:tcPr>
          <w:p w14:paraId="45C0FD29">
            <w:pPr>
              <w:pStyle w:val="20"/>
              <w:widowControl w:val="0"/>
              <w:adjustRightInd w:val="0"/>
              <w:snapToGrid w:val="0"/>
              <w:spacing w:line="360" w:lineRule="auto"/>
              <w:rPr>
                <w:rFonts w:ascii="宋体"/>
                <w:b/>
                <w:color w:val="auto"/>
              </w:rPr>
            </w:pPr>
          </w:p>
        </w:tc>
        <w:tc>
          <w:tcPr>
            <w:tcW w:w="1196" w:type="pct"/>
            <w:vAlign w:val="center"/>
          </w:tcPr>
          <w:p w14:paraId="17BCE365">
            <w:pPr>
              <w:pStyle w:val="20"/>
              <w:widowControl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446C4779">
            <w:pPr>
              <w:pStyle w:val="20"/>
              <w:widowControl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08FEC620">
            <w:pPr>
              <w:pStyle w:val="20"/>
              <w:widowControl w:val="0"/>
              <w:adjustRightInd w:val="0"/>
              <w:snapToGrid w:val="0"/>
              <w:spacing w:line="360" w:lineRule="auto"/>
              <w:rPr>
                <w:rFonts w:ascii="宋体"/>
                <w:b/>
                <w:color w:val="auto"/>
                <w:lang w:val="en-GB"/>
              </w:rPr>
            </w:pPr>
            <w:r>
              <w:rPr>
                <w:rFonts w:ascii="宋体"/>
                <w:b/>
                <w:color w:val="auto"/>
                <w:lang w:val="en-GB"/>
              </w:rPr>
              <w:t>事故树法</w:t>
            </w:r>
          </w:p>
        </w:tc>
      </w:tr>
      <w:tr w14:paraId="27EEA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C5D8607">
            <w:pPr>
              <w:pStyle w:val="20"/>
              <w:widowControl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5AEBABC2">
            <w:pPr>
              <w:pStyle w:val="20"/>
              <w:widowControl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1E291D00">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2A4A5594">
            <w:pPr>
              <w:pStyle w:val="20"/>
              <w:widowControl w:val="0"/>
              <w:adjustRightInd w:val="0"/>
              <w:snapToGrid w:val="0"/>
              <w:spacing w:line="360" w:lineRule="auto"/>
              <w:rPr>
                <w:rFonts w:ascii="宋体"/>
                <w:color w:val="auto"/>
              </w:rPr>
            </w:pPr>
          </w:p>
        </w:tc>
        <w:tc>
          <w:tcPr>
            <w:tcW w:w="972" w:type="pct"/>
            <w:vAlign w:val="center"/>
          </w:tcPr>
          <w:p w14:paraId="00C1DAAC">
            <w:pPr>
              <w:pStyle w:val="20"/>
              <w:widowControl w:val="0"/>
              <w:adjustRightInd w:val="0"/>
              <w:snapToGrid w:val="0"/>
              <w:spacing w:line="360" w:lineRule="auto"/>
              <w:rPr>
                <w:rFonts w:ascii="宋体"/>
                <w:color w:val="auto"/>
              </w:rPr>
            </w:pPr>
          </w:p>
        </w:tc>
      </w:tr>
      <w:tr w14:paraId="76973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A4AADEA">
            <w:pPr>
              <w:pStyle w:val="20"/>
              <w:widowControl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6DFEA469">
            <w:pPr>
              <w:pStyle w:val="20"/>
              <w:widowControl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5CF653C1">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0F8023B">
            <w:pPr>
              <w:pStyle w:val="20"/>
              <w:widowControl w:val="0"/>
              <w:adjustRightInd w:val="0"/>
              <w:snapToGrid w:val="0"/>
              <w:spacing w:line="360" w:lineRule="auto"/>
              <w:rPr>
                <w:rFonts w:ascii="宋体"/>
                <w:color w:val="auto"/>
              </w:rPr>
            </w:pPr>
          </w:p>
        </w:tc>
        <w:tc>
          <w:tcPr>
            <w:tcW w:w="972" w:type="pct"/>
            <w:vAlign w:val="center"/>
          </w:tcPr>
          <w:p w14:paraId="757A7995">
            <w:pPr>
              <w:pStyle w:val="20"/>
              <w:widowControl w:val="0"/>
              <w:adjustRightInd w:val="0"/>
              <w:snapToGrid w:val="0"/>
              <w:spacing w:line="360" w:lineRule="auto"/>
              <w:rPr>
                <w:rFonts w:ascii="宋体"/>
                <w:color w:val="auto"/>
              </w:rPr>
            </w:pPr>
          </w:p>
        </w:tc>
      </w:tr>
      <w:tr w14:paraId="62F8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1EE35C5">
            <w:pPr>
              <w:pStyle w:val="20"/>
              <w:widowControl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4A918E6C">
            <w:pPr>
              <w:pStyle w:val="20"/>
              <w:widowControl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4D11A67E">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392D00C6">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0E836CF9">
            <w:pPr>
              <w:pStyle w:val="20"/>
              <w:widowControl w:val="0"/>
              <w:adjustRightInd w:val="0"/>
              <w:snapToGrid w:val="0"/>
              <w:spacing w:line="360" w:lineRule="auto"/>
              <w:rPr>
                <w:rFonts w:ascii="宋体"/>
                <w:color w:val="auto"/>
              </w:rPr>
            </w:pPr>
            <w:r>
              <w:rPr>
                <w:rFonts w:hint="eastAsia" w:ascii="宋体" w:hAnsi="宋体" w:cs="宋体"/>
                <w:color w:val="auto"/>
              </w:rPr>
              <w:t>★</w:t>
            </w:r>
          </w:p>
        </w:tc>
      </w:tr>
      <w:tr w14:paraId="033D5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6CB1BBD">
            <w:pPr>
              <w:pStyle w:val="20"/>
              <w:widowControl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18F40D56">
            <w:pPr>
              <w:pStyle w:val="20"/>
              <w:widowControl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65B05064">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3808F65A">
            <w:pPr>
              <w:pStyle w:val="20"/>
              <w:widowControl w:val="0"/>
              <w:adjustRightInd w:val="0"/>
              <w:snapToGrid w:val="0"/>
              <w:spacing w:line="360" w:lineRule="auto"/>
              <w:rPr>
                <w:rFonts w:ascii="宋体"/>
                <w:color w:val="auto"/>
              </w:rPr>
            </w:pPr>
          </w:p>
        </w:tc>
        <w:tc>
          <w:tcPr>
            <w:tcW w:w="972" w:type="pct"/>
            <w:vAlign w:val="center"/>
          </w:tcPr>
          <w:p w14:paraId="4ADFB55C">
            <w:pPr>
              <w:pStyle w:val="20"/>
              <w:widowControl w:val="0"/>
              <w:adjustRightInd w:val="0"/>
              <w:snapToGrid w:val="0"/>
              <w:spacing w:line="360" w:lineRule="auto"/>
              <w:rPr>
                <w:rFonts w:ascii="宋体"/>
                <w:color w:val="auto"/>
              </w:rPr>
            </w:pPr>
          </w:p>
        </w:tc>
      </w:tr>
    </w:tbl>
    <w:p w14:paraId="63FFFE3C">
      <w:pPr>
        <w:pStyle w:val="17"/>
        <w:widowControl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6EC93C82">
      <w:pPr>
        <w:pStyle w:val="21"/>
        <w:widowControl w:val="0"/>
        <w:snapToGrid w:val="0"/>
        <w:spacing w:line="360" w:lineRule="auto"/>
        <w:ind w:firstLine="872" w:firstLineChars="400"/>
        <w:rPr>
          <w:color w:val="auto"/>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35" w:name="_Toc7871"/>
      <w:r>
        <w:rPr>
          <w:rFonts w:hint="eastAsia"/>
          <w:color w:val="auto"/>
          <w:highlight w:val="none"/>
        </w:rPr>
        <w:t>第六章  安全对策措施及建议</w:t>
      </w:r>
      <w:bookmarkEnd w:id="35"/>
    </w:p>
    <w:p w14:paraId="61D5A378">
      <w:pPr>
        <w:pStyle w:val="4"/>
        <w:spacing w:before="312" w:beforeLines="100" w:after="312" w:afterLines="100" w:line="360" w:lineRule="auto"/>
        <w:ind w:firstLine="0"/>
        <w:rPr>
          <w:rFonts w:hint="eastAsia"/>
          <w:color w:val="auto"/>
          <w:highlight w:val="none"/>
        </w:rPr>
      </w:pPr>
      <w:bookmarkStart w:id="36" w:name="_Toc225046264"/>
      <w:bookmarkStart w:id="37" w:name="_Toc339456079"/>
      <w:bookmarkStart w:id="38" w:name="_Toc102633915"/>
      <w:bookmarkStart w:id="39" w:name="_Toc15033762"/>
      <w:bookmarkStart w:id="40" w:name="_Toc242065302"/>
      <w:bookmarkStart w:id="41" w:name="_Toc102633989"/>
      <w:bookmarkStart w:id="42" w:name="_Toc2607"/>
      <w:bookmarkStart w:id="43" w:name="_Toc4961"/>
      <w:bookmarkStart w:id="44" w:name="_Toc102634277"/>
      <w:bookmarkStart w:id="45" w:name="_Toc102634415"/>
      <w:bookmarkStart w:id="46" w:name="_Toc348877039"/>
      <w:r>
        <w:rPr>
          <w:rFonts w:hint="eastAsia"/>
          <w:color w:val="auto"/>
          <w:highlight w:val="none"/>
        </w:rPr>
        <w:t xml:space="preserve">第一节 </w:t>
      </w:r>
      <w:bookmarkEnd w:id="36"/>
      <w:bookmarkEnd w:id="37"/>
      <w:r>
        <w:rPr>
          <w:rFonts w:hint="eastAsia"/>
          <w:color w:val="auto"/>
          <w:highlight w:val="none"/>
        </w:rPr>
        <w:t>存在的问题及整改建议</w:t>
      </w:r>
      <w:bookmarkEnd w:id="38"/>
      <w:bookmarkEnd w:id="39"/>
      <w:bookmarkEnd w:id="40"/>
      <w:bookmarkEnd w:id="41"/>
      <w:bookmarkEnd w:id="42"/>
      <w:bookmarkEnd w:id="43"/>
      <w:bookmarkEnd w:id="44"/>
      <w:bookmarkEnd w:id="45"/>
      <w:bookmarkEnd w:id="46"/>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47" w:name="_Toc49590281"/>
      <w:bookmarkStart w:id="48"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47"/>
      <w:bookmarkEnd w:id="48"/>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6CAEA933">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c>
          <w:tcPr>
            <w:tcW w:w="4740" w:type="dxa"/>
            <w:shd w:val="clear" w:color="auto" w:fill="auto"/>
            <w:vAlign w:val="center"/>
          </w:tcPr>
          <w:p w14:paraId="590897B6">
            <w:pPr>
              <w:jc w:val="center"/>
              <w:rPr>
                <w:rFonts w:hint="default" w:ascii="Times New Roman" w:hAnsi="Times New Roman" w:eastAsia="宋体" w:cs="Times New Roman"/>
                <w:color w:val="auto"/>
                <w:kern w:val="2"/>
                <w:sz w:val="21"/>
                <w:szCs w:val="21"/>
                <w:highlight w:val="none"/>
                <w:u w:color="000000"/>
                <w:lang w:val="en-US" w:eastAsia="zh-CN" w:bidi="ar-SA"/>
              </w:rPr>
            </w:pPr>
            <w:r>
              <w:rPr>
                <w:rFonts w:hint="eastAsia" w:cs="Times New Roman"/>
                <w:color w:val="auto"/>
                <w:kern w:val="2"/>
                <w:sz w:val="21"/>
                <w:szCs w:val="21"/>
                <w:highlight w:val="none"/>
                <w:u w:color="000000"/>
                <w:lang w:val="en-US" w:eastAsia="zh-CN" w:bidi="ar-SA"/>
              </w:rPr>
              <w:t>无</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41E06E72">
      <w:pPr>
        <w:pStyle w:val="13"/>
        <w:rPr>
          <w:rFonts w:ascii="黑体" w:hAnsi="黑体" w:eastAsia="黑体" w:cs="黑体"/>
          <w:color w:val="auto"/>
          <w:u w:color="000000"/>
        </w:rPr>
      </w:pPr>
    </w:p>
    <w:p w14:paraId="60ADE797">
      <w:pPr>
        <w:pStyle w:val="13"/>
        <w:rPr>
          <w:rFonts w:ascii="黑体" w:hAnsi="黑体" w:eastAsia="黑体" w:cs="黑体"/>
          <w:color w:val="auto"/>
          <w:u w:color="000000"/>
        </w:rPr>
      </w:pPr>
    </w:p>
    <w:p w14:paraId="0A9A7043">
      <w:pPr>
        <w:pStyle w:val="13"/>
        <w:rPr>
          <w:rFonts w:ascii="黑体" w:hAnsi="黑体" w:eastAsia="黑体" w:cs="黑体"/>
          <w:color w:val="auto"/>
          <w:u w:color="000000"/>
        </w:rPr>
      </w:pPr>
    </w:p>
    <w:p w14:paraId="61D17D19">
      <w:pPr>
        <w:widowControl/>
        <w:spacing w:line="360" w:lineRule="auto"/>
        <w:jc w:val="center"/>
        <w:textAlignment w:val="baseline"/>
        <w:rPr>
          <w:rFonts w:ascii="黑体" w:hAnsi="黑体" w:eastAsia="黑体" w:cs="黑体"/>
          <w:color w:val="auto"/>
          <w:kern w:val="0"/>
          <w:sz w:val="24"/>
          <w:szCs w:val="24"/>
          <w:u w:color="000000"/>
        </w:rPr>
      </w:pPr>
    </w:p>
    <w:p w14:paraId="7D50DD0A">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r>
        <w:rPr>
          <w:rFonts w:hint="default" w:ascii="宋体"/>
          <w:color w:val="auto"/>
          <w:kern w:val="0"/>
          <w:sz w:val="28"/>
          <w:szCs w:val="20"/>
          <w:lang w:val="en-US" w:eastAsia="zh-CN"/>
        </w:rPr>
        <w:drawing>
          <wp:inline distT="0" distB="0" distL="114300" distR="114300">
            <wp:extent cx="5721985" cy="4291330"/>
            <wp:effectExtent l="0" t="0" r="8255" b="6350"/>
            <wp:docPr id="2" name="图片 2" descr="IMG_20250526_11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526_111752"/>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5721985" cy="4291330"/>
            <wp:effectExtent l="0" t="0" r="8255" b="6350"/>
            <wp:docPr id="1" name="图片 1" descr="IMG_20250526_11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526_111929"/>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37765" cy="4333875"/>
            <wp:effectExtent l="0" t="0" r="635" b="9525"/>
            <wp:docPr id="3" name="图片 3" descr="49250647d1f48912f6178d91cfff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250647d1f48912f6178d91cfff8f3"/>
                    <pic:cNvPicPr>
                      <a:picLocks noChangeAspect="1"/>
                    </pic:cNvPicPr>
                  </pic:nvPicPr>
                  <pic:blipFill>
                    <a:blip r:embed="rId6"/>
                    <a:stretch>
                      <a:fillRect/>
                    </a:stretch>
                  </pic:blipFill>
                  <pic:spPr>
                    <a:xfrm>
                      <a:off x="0" y="0"/>
                      <a:ext cx="2437765" cy="433387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37765" cy="4333875"/>
            <wp:effectExtent l="0" t="0" r="635" b="9525"/>
            <wp:docPr id="4" name="图片 4" descr="86d4d738fc27cb721ce50e41322f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d4d738fc27cb721ce50e41322fa40"/>
                    <pic:cNvPicPr>
                      <a:picLocks noChangeAspect="1"/>
                    </pic:cNvPicPr>
                  </pic:nvPicPr>
                  <pic:blipFill>
                    <a:blip r:embed="rId7"/>
                    <a:stretch>
                      <a:fillRect/>
                    </a:stretch>
                  </pic:blipFill>
                  <pic:spPr>
                    <a:xfrm>
                      <a:off x="0" y="0"/>
                      <a:ext cx="2437765" cy="433387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73960" cy="4220845"/>
            <wp:effectExtent l="0" t="0" r="0" b="0"/>
            <wp:docPr id="5" name="图片 5" descr="4cb2c5dfe8260f1dc18679ef5df2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cb2c5dfe8260f1dc18679ef5df239b"/>
                    <pic:cNvPicPr>
                      <a:picLocks noChangeAspect="1"/>
                    </pic:cNvPicPr>
                  </pic:nvPicPr>
                  <pic:blipFill>
                    <a:blip r:embed="rId8"/>
                    <a:srcRect t="4042"/>
                    <a:stretch>
                      <a:fillRect/>
                    </a:stretch>
                  </pic:blipFill>
                  <pic:spPr>
                    <a:xfrm>
                      <a:off x="0" y="0"/>
                      <a:ext cx="2473960" cy="4220845"/>
                    </a:xfrm>
                    <a:prstGeom prst="rect">
                      <a:avLst/>
                    </a:prstGeom>
                  </pic:spPr>
                </pic:pic>
              </a:graphicData>
            </a:graphic>
          </wp:inline>
        </w:drawing>
      </w:r>
      <w:bookmarkStart w:id="49" w:name="_GoBack"/>
      <w:bookmarkEnd w:id="49"/>
      <w:r>
        <w:rPr>
          <w:rFonts w:hint="default" w:ascii="宋体"/>
          <w:color w:val="auto"/>
          <w:kern w:val="0"/>
          <w:sz w:val="28"/>
          <w:szCs w:val="20"/>
          <w:lang w:val="en-US" w:eastAsia="zh-CN"/>
        </w:rPr>
        <w:drawing>
          <wp:inline distT="0" distB="0" distL="114300" distR="114300">
            <wp:extent cx="2466340" cy="4385310"/>
            <wp:effectExtent l="0" t="0" r="2540" b="3810"/>
            <wp:docPr id="6" name="图片 6" descr="c28164e336721521c368c403303b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28164e336721521c368c403303b32b"/>
                    <pic:cNvPicPr>
                      <a:picLocks noChangeAspect="1"/>
                    </pic:cNvPicPr>
                  </pic:nvPicPr>
                  <pic:blipFill>
                    <a:blip r:embed="rId9"/>
                    <a:stretch>
                      <a:fillRect/>
                    </a:stretch>
                  </pic:blipFill>
                  <pic:spPr>
                    <a:xfrm>
                      <a:off x="0" y="0"/>
                      <a:ext cx="2466340" cy="438531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3463925" cy="6157595"/>
            <wp:effectExtent l="0" t="0" r="14605" b="10795"/>
            <wp:docPr id="7" name="图片 7" descr="1deed2f170cb3862af4d62b308f6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eed2f170cb3862af4d62b308f6cf5"/>
                    <pic:cNvPicPr>
                      <a:picLocks noChangeAspect="1"/>
                    </pic:cNvPicPr>
                  </pic:nvPicPr>
                  <pic:blipFill>
                    <a:blip r:embed="rId10"/>
                    <a:stretch>
                      <a:fillRect/>
                    </a:stretch>
                  </pic:blipFill>
                  <pic:spPr>
                    <a:xfrm rot="16200000">
                      <a:off x="0" y="0"/>
                      <a:ext cx="3463925" cy="615759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6667F8"/>
    <w:rsid w:val="16BC1C2B"/>
    <w:rsid w:val="1C4A2E55"/>
    <w:rsid w:val="1DE92E23"/>
    <w:rsid w:val="1E1E483E"/>
    <w:rsid w:val="1F5B398D"/>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3CB4C37"/>
    <w:rsid w:val="4706325F"/>
    <w:rsid w:val="47290367"/>
    <w:rsid w:val="48FE4AE5"/>
    <w:rsid w:val="4ECC7680"/>
    <w:rsid w:val="4F5D6EDB"/>
    <w:rsid w:val="517D7B69"/>
    <w:rsid w:val="537F016A"/>
    <w:rsid w:val="563D798B"/>
    <w:rsid w:val="567C6788"/>
    <w:rsid w:val="579A241E"/>
    <w:rsid w:val="58840D76"/>
    <w:rsid w:val="5C8B1D2D"/>
    <w:rsid w:val="5D511379"/>
    <w:rsid w:val="60FB542C"/>
    <w:rsid w:val="636808F8"/>
    <w:rsid w:val="64FD4259"/>
    <w:rsid w:val="6A640607"/>
    <w:rsid w:val="6AD40467"/>
    <w:rsid w:val="6B3179BA"/>
    <w:rsid w:val="6BF95CAB"/>
    <w:rsid w:val="6C4D48B3"/>
    <w:rsid w:val="6D0669CA"/>
    <w:rsid w:val="6DAB1525"/>
    <w:rsid w:val="6FDF53A7"/>
    <w:rsid w:val="717A11AE"/>
    <w:rsid w:val="72FD2CFB"/>
    <w:rsid w:val="74AE7C8C"/>
    <w:rsid w:val="76511CAD"/>
    <w:rsid w:val="7772596D"/>
    <w:rsid w:val="788E5851"/>
    <w:rsid w:val="7AB02F22"/>
    <w:rsid w:val="7C9C2DAE"/>
    <w:rsid w:val="7DCC38D1"/>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7"/>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2780</Words>
  <Characters>3046</Characters>
  <Lines>0</Lines>
  <Paragraphs>0</Paragraphs>
  <TotalTime>3</TotalTime>
  <ScaleCrop>false</ScaleCrop>
  <LinksUpToDate>false</LinksUpToDate>
  <CharactersWithSpaces>3062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刘林</cp:lastModifiedBy>
  <dcterms:modified xsi:type="dcterms:W3CDTF">2025-06-19T01:31:19Z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