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泰安市岱岳区范镇蓝天加油站经营危险化学品现状评价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adjustRightInd w:val="0"/>
              <w:snapToGrid w:val="0"/>
              <w:spacing w:line="240" w:lineRule="auto"/>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该加油站现有埋地双层储油罐5只</w:t>
            </w:r>
            <w:r>
              <w:rPr>
                <w:rFonts w:hint="eastAsia"/>
                <w:color w:val="auto"/>
                <w:highlight w:val="none"/>
              </w:rPr>
              <w:t>：2台20m</w:t>
            </w:r>
            <w:r>
              <w:rPr>
                <w:rFonts w:hint="eastAsia"/>
                <w:color w:val="auto"/>
                <w:highlight w:val="none"/>
                <w:vertAlign w:val="superscript"/>
              </w:rPr>
              <w:t>3</w:t>
            </w:r>
            <w:r>
              <w:rPr>
                <w:rFonts w:hint="eastAsia"/>
                <w:color w:val="auto"/>
                <w:highlight w:val="none"/>
              </w:rPr>
              <w:t>92#汽油罐、1台20m</w:t>
            </w:r>
            <w:r>
              <w:rPr>
                <w:rFonts w:hint="eastAsia"/>
                <w:color w:val="auto"/>
                <w:highlight w:val="none"/>
                <w:vertAlign w:val="superscript"/>
              </w:rPr>
              <w:t>3</w:t>
            </w:r>
            <w:r>
              <w:rPr>
                <w:rFonts w:hint="eastAsia"/>
                <w:color w:val="auto"/>
                <w:highlight w:val="none"/>
              </w:rPr>
              <w:t>95#汽油罐、1台20m</w:t>
            </w:r>
            <w:r>
              <w:rPr>
                <w:rFonts w:hint="eastAsia"/>
                <w:color w:val="auto"/>
                <w:highlight w:val="none"/>
                <w:vertAlign w:val="superscript"/>
              </w:rPr>
              <w:t>3</w:t>
            </w:r>
            <w:r>
              <w:rPr>
                <w:rFonts w:hint="eastAsia"/>
                <w:color w:val="auto"/>
                <w:highlight w:val="none"/>
              </w:rPr>
              <w:t>柴油罐、1台40m</w:t>
            </w:r>
            <w:r>
              <w:rPr>
                <w:rFonts w:hint="eastAsia"/>
                <w:color w:val="auto"/>
                <w:highlight w:val="none"/>
                <w:vertAlign w:val="superscript"/>
              </w:rPr>
              <w:t>3</w:t>
            </w:r>
            <w:r>
              <w:rPr>
                <w:rFonts w:hint="eastAsia"/>
                <w:color w:val="auto"/>
                <w:highlight w:val="none"/>
              </w:rPr>
              <w:t>柴油罐，1台油气回收处理装置</w:t>
            </w:r>
            <w:r>
              <w:rPr>
                <w:rFonts w:hint="eastAsia"/>
                <w:color w:val="auto"/>
                <w:highlight w:val="none"/>
                <w:lang w:eastAsia="zh-CN"/>
              </w:rPr>
              <w:t>。</w:t>
            </w:r>
            <w:r>
              <w:rPr>
                <w:rFonts w:hint="eastAsia"/>
                <w:color w:val="auto"/>
                <w:lang w:val="en-US" w:eastAsia="zh-CN"/>
              </w:rPr>
              <w:t>加油站设置4座加油岛，共设</w:t>
            </w:r>
            <w:r>
              <w:rPr>
                <w:rFonts w:hint="eastAsia"/>
                <w:color w:val="auto"/>
                <w:highlight w:val="none"/>
              </w:rPr>
              <w:t>2台双枪加油机（92#/95#汽油），2台4枪加油机（92#汽油/柴油）</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2025.6.3</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2025.6.11</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2025.6.12</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2025.6.13</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安全评价报告提交时间：2025.6.18</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5AA51BEC">
      <w:pPr>
        <w:pStyle w:val="16"/>
        <w:spacing w:before="312" w:after="312"/>
        <w:rPr>
          <w:color w:val="auto"/>
          <w:highlight w:val="none"/>
        </w:rPr>
      </w:pPr>
      <w:bookmarkStart w:id="0" w:name="_Toc8295"/>
      <w:bookmarkStart w:id="1" w:name="_Toc102633969"/>
      <w:bookmarkStart w:id="2" w:name="_Toc102634226"/>
      <w:bookmarkStart w:id="3" w:name="_Toc15033742"/>
      <w:bookmarkStart w:id="4" w:name="_Toc102633895"/>
      <w:bookmarkStart w:id="5" w:name="_Toc102634395"/>
      <w:r>
        <w:rPr>
          <w:rFonts w:hint="eastAsia"/>
          <w:color w:val="auto"/>
          <w:highlight w:val="none"/>
        </w:rPr>
        <w:t>第二章 加油站概况</w:t>
      </w:r>
      <w:bookmarkEnd w:id="0"/>
      <w:bookmarkEnd w:id="1"/>
      <w:bookmarkEnd w:id="2"/>
      <w:bookmarkEnd w:id="3"/>
      <w:bookmarkEnd w:id="4"/>
      <w:bookmarkEnd w:id="5"/>
    </w:p>
    <w:p w14:paraId="0B2D0F1E">
      <w:pPr>
        <w:pStyle w:val="3"/>
        <w:spacing w:before="312" w:beforeLines="100" w:after="312" w:afterLines="100" w:line="360" w:lineRule="auto"/>
        <w:ind w:firstLine="0"/>
        <w:rPr>
          <w:color w:val="auto"/>
          <w:highlight w:val="none"/>
        </w:rPr>
      </w:pPr>
      <w:bookmarkStart w:id="6" w:name="_Toc208733856"/>
      <w:bookmarkStart w:id="7" w:name="_Toc102633970"/>
      <w:bookmarkStart w:id="8" w:name="_Toc26504"/>
      <w:bookmarkStart w:id="9" w:name="_Toc30066"/>
      <w:bookmarkStart w:id="10" w:name="_Toc102634396"/>
      <w:bookmarkStart w:id="11" w:name="_Toc102634227"/>
      <w:bookmarkStart w:id="12" w:name="_Toc102633896"/>
      <w:bookmarkStart w:id="13" w:name="_Toc15033743"/>
      <w:bookmarkStart w:id="14" w:name="_Toc13779"/>
      <w:bookmarkStart w:id="15" w:name="_Toc272364524"/>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5AA9B854">
      <w:pPr>
        <w:adjustRightInd w:val="0"/>
        <w:snapToGrid w:val="0"/>
        <w:spacing w:line="360" w:lineRule="auto"/>
        <w:ind w:firstLine="560" w:firstLineChars="200"/>
        <w:rPr>
          <w:rFonts w:ascii="宋体"/>
          <w:color w:val="auto"/>
          <w:highlight w:val="none"/>
        </w:rPr>
      </w:pPr>
      <w:r>
        <w:rPr>
          <w:rFonts w:hint="eastAsia" w:ascii="宋体" w:hAnsi="宋体"/>
          <w:color w:val="auto"/>
          <w:sz w:val="28"/>
          <w:szCs w:val="28"/>
          <w:highlight w:val="none"/>
        </w:rPr>
        <w:t>泰安市岱岳区范镇蓝天加油站位于</w:t>
      </w:r>
      <w:r>
        <w:rPr>
          <w:rFonts w:hint="eastAsia" w:ascii="宋体" w:hAnsi="宋体"/>
          <w:color w:val="auto"/>
          <w:sz w:val="28"/>
          <w:highlight w:val="none"/>
          <w:lang w:eastAsia="zh-CN"/>
        </w:rPr>
        <w:t>范镇</w:t>
      </w:r>
      <w:r>
        <w:rPr>
          <w:rFonts w:hint="eastAsia" w:ascii="宋体" w:hAnsi="宋体"/>
          <w:color w:val="auto"/>
          <w:sz w:val="28"/>
          <w:highlight w:val="none"/>
        </w:rPr>
        <w:t>范西村镇政府东500米处泰莱路北侧</w:t>
      </w:r>
      <w:r>
        <w:rPr>
          <w:rFonts w:hint="eastAsia" w:ascii="宋体" w:hAnsi="宋体"/>
          <w:color w:val="auto"/>
          <w:sz w:val="28"/>
          <w:szCs w:val="28"/>
          <w:highlight w:val="none"/>
        </w:rPr>
        <w:t>，加油站</w:t>
      </w:r>
      <w:r>
        <w:rPr>
          <w:rFonts w:hint="eastAsia" w:ascii="宋体" w:hAnsi="宋体"/>
          <w:snapToGrid w:val="0"/>
          <w:color w:val="auto"/>
          <w:kern w:val="0"/>
          <w:sz w:val="28"/>
          <w:highlight w:val="none"/>
        </w:rPr>
        <w:t>东侧是民房，西侧是</w:t>
      </w:r>
      <w:r>
        <w:rPr>
          <w:rFonts w:hint="eastAsia" w:ascii="宋体" w:hAnsi="宋体"/>
          <w:snapToGrid w:val="0"/>
          <w:color w:val="auto"/>
          <w:kern w:val="0"/>
          <w:sz w:val="28"/>
          <w:highlight w:val="none"/>
          <w:lang w:eastAsia="zh-CN"/>
        </w:rPr>
        <w:t>配电室</w:t>
      </w:r>
      <w:r>
        <w:rPr>
          <w:rFonts w:hint="eastAsia" w:ascii="宋体" w:hAnsi="宋体"/>
          <w:snapToGrid w:val="0"/>
          <w:color w:val="auto"/>
          <w:kern w:val="0"/>
          <w:sz w:val="28"/>
          <w:highlight w:val="none"/>
        </w:rPr>
        <w:t>、民房，南侧是G341国道和架空电力线、架空通信线，北侧是空地</w:t>
      </w:r>
      <w:r>
        <w:rPr>
          <w:rFonts w:hint="eastAsia" w:ascii="宋体" w:hAnsi="宋体" w:cs="宋体"/>
          <w:color w:val="auto"/>
          <w:sz w:val="28"/>
          <w:szCs w:val="28"/>
          <w:highlight w:val="none"/>
        </w:rPr>
        <w:t>。</w:t>
      </w:r>
      <w:r>
        <w:rPr>
          <w:rFonts w:hint="eastAsia" w:ascii="宋体" w:hAnsi="宋体"/>
          <w:color w:val="auto"/>
          <w:sz w:val="28"/>
          <w:highlight w:val="none"/>
        </w:rPr>
        <w:t>该站经营许可范围为</w:t>
      </w:r>
      <w:r>
        <w:rPr>
          <w:rFonts w:hint="eastAsia" w:asciiTheme="minorEastAsia" w:hAnsiTheme="minorEastAsia" w:eastAsiaTheme="minorEastAsia" w:cstheme="minorEastAsia"/>
          <w:color w:val="auto"/>
          <w:sz w:val="28"/>
          <w:szCs w:val="28"/>
          <w:highlight w:val="none"/>
        </w:rPr>
        <w:t>汽油、乙醇汽油</w:t>
      </w:r>
      <w:r>
        <w:rPr>
          <w:rFonts w:hint="eastAsia" w:ascii="宋体" w:hAnsi="宋体"/>
          <w:color w:val="auto"/>
          <w:sz w:val="28"/>
          <w:highlight w:val="none"/>
        </w:rPr>
        <w:t>、柴油，现其主要经营储存汽油、0#柴油（换季销售-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此次现状评价报告与上次报告相比，周边环境、站内设备设施、主要建构筑物未发生变化。</w:t>
      </w:r>
    </w:p>
    <w:p w14:paraId="3C1164D4">
      <w:pPr>
        <w:pStyle w:val="15"/>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该加油站主要建有站房、罩棚、油罐区、加油区等。加油区在站房西侧，</w:t>
      </w:r>
      <w:r>
        <w:rPr>
          <w:rFonts w:hint="eastAsia" w:ascii="宋体" w:hAnsi="宋体"/>
          <w:color w:val="auto"/>
          <w:kern w:val="2"/>
          <w:szCs w:val="21"/>
          <w:highlight w:val="none"/>
        </w:rPr>
        <w:t>现有</w:t>
      </w:r>
      <w:r>
        <w:rPr>
          <w:rFonts w:hint="eastAsia"/>
          <w:color w:val="auto"/>
          <w:highlight w:val="none"/>
        </w:rPr>
        <w:t>2台双枪加油机（92#/95#汽油），2台4枪加油机（92#汽油/柴油）</w:t>
      </w:r>
      <w:r>
        <w:rPr>
          <w:rFonts w:hint="eastAsia" w:ascii="宋体" w:hAnsi="宋体"/>
          <w:color w:val="auto"/>
          <w:kern w:val="2"/>
          <w:szCs w:val="21"/>
          <w:highlight w:val="none"/>
        </w:rPr>
        <w:t>，均为潜油泵式</w:t>
      </w:r>
      <w:r>
        <w:rPr>
          <w:rFonts w:hint="eastAsia" w:ascii="宋体"/>
          <w:color w:val="auto"/>
          <w:highlight w:val="none"/>
        </w:rPr>
        <w:t>；</w:t>
      </w:r>
      <w:r>
        <w:rPr>
          <w:rFonts w:hint="eastAsia" w:ascii="宋体" w:hAnsi="宋体"/>
          <w:color w:val="auto"/>
          <w:szCs w:val="28"/>
          <w:highlight w:val="none"/>
        </w:rPr>
        <w:t>油罐区位于站房西侧车行道下方，</w:t>
      </w:r>
      <w:r>
        <w:rPr>
          <w:rFonts w:hint="eastAsia" w:ascii="宋体"/>
          <w:color w:val="auto"/>
          <w:highlight w:val="none"/>
        </w:rPr>
        <w:t>现有</w:t>
      </w:r>
      <w:r>
        <w:rPr>
          <w:rFonts w:hint="eastAsia"/>
          <w:color w:val="auto"/>
          <w:highlight w:val="none"/>
        </w:rPr>
        <w:t>5台双层储罐（2台20m</w:t>
      </w:r>
      <w:r>
        <w:rPr>
          <w:rFonts w:hint="eastAsia"/>
          <w:color w:val="auto"/>
          <w:highlight w:val="none"/>
          <w:vertAlign w:val="superscript"/>
        </w:rPr>
        <w:t>3</w:t>
      </w:r>
      <w:r>
        <w:rPr>
          <w:rFonts w:hint="eastAsia"/>
          <w:color w:val="auto"/>
          <w:highlight w:val="none"/>
        </w:rPr>
        <w:t>92#汽油罐、1台20m</w:t>
      </w:r>
      <w:r>
        <w:rPr>
          <w:rFonts w:hint="eastAsia"/>
          <w:color w:val="auto"/>
          <w:highlight w:val="none"/>
          <w:vertAlign w:val="superscript"/>
        </w:rPr>
        <w:t>3</w:t>
      </w:r>
      <w:r>
        <w:rPr>
          <w:rFonts w:hint="eastAsia"/>
          <w:color w:val="auto"/>
          <w:highlight w:val="none"/>
        </w:rPr>
        <w:t>95#汽油罐、1台20m</w:t>
      </w:r>
      <w:r>
        <w:rPr>
          <w:rFonts w:hint="eastAsia"/>
          <w:color w:val="auto"/>
          <w:highlight w:val="none"/>
          <w:vertAlign w:val="superscript"/>
        </w:rPr>
        <w:t>3</w:t>
      </w:r>
      <w:r>
        <w:rPr>
          <w:rFonts w:hint="eastAsia"/>
          <w:color w:val="auto"/>
          <w:highlight w:val="none"/>
        </w:rPr>
        <w:t>柴油罐、1台40m</w:t>
      </w:r>
      <w:r>
        <w:rPr>
          <w:rFonts w:hint="eastAsia"/>
          <w:color w:val="auto"/>
          <w:highlight w:val="none"/>
          <w:vertAlign w:val="superscript"/>
        </w:rPr>
        <w:t>3</w:t>
      </w:r>
      <w:r>
        <w:rPr>
          <w:rFonts w:hint="eastAsia"/>
          <w:color w:val="auto"/>
          <w:highlight w:val="none"/>
        </w:rPr>
        <w:t>柴油罐</w:t>
      </w:r>
      <w:r>
        <w:rPr>
          <w:rFonts w:hint="eastAsia" w:ascii="宋体" w:hAnsi="宋体"/>
          <w:color w:val="auto"/>
          <w:szCs w:val="28"/>
          <w:highlight w:val="none"/>
        </w:rPr>
        <w:t>；5台油罐均安装了液位仪、检漏仪</w:t>
      </w:r>
      <w:r>
        <w:rPr>
          <w:rFonts w:hint="eastAsia" w:ascii="宋体"/>
          <w:color w:val="auto"/>
          <w:highlight w:val="none"/>
        </w:rPr>
        <w:t>；汽油、柴油卸油口位于加油区西侧；</w:t>
      </w:r>
      <w:r>
        <w:rPr>
          <w:rFonts w:hint="eastAsia" w:ascii="宋体" w:hAnsi="宋体"/>
          <w:color w:val="auto"/>
          <w:szCs w:val="28"/>
          <w:highlight w:val="none"/>
        </w:rPr>
        <w:t>通气管4根位于西北侧加油岛罩棚柱内，该站设有三次油气回收系统（卸油油气回收系统、加油油气回收系统、油气回收处理装置）；洗车房位于站房东侧；</w:t>
      </w:r>
      <w:r>
        <w:rPr>
          <w:rFonts w:hint="eastAsia" w:ascii="宋体"/>
          <w:color w:val="auto"/>
          <w:highlight w:val="none"/>
        </w:rPr>
        <w:t>按《汽车加油加气加氢站技术标准》GB50156-2021标准规定：油罐总储量为120m³，柴油储罐容积折半计入总容积为90m³，该站属三级加油站。</w:t>
      </w:r>
    </w:p>
    <w:p w14:paraId="0255EB97">
      <w:pPr>
        <w:pStyle w:val="17"/>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362CC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53BB9C7">
            <w:pPr>
              <w:pStyle w:val="18"/>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4F52CA6E">
            <w:pPr>
              <w:pStyle w:val="18"/>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13606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E968DFE">
            <w:pPr>
              <w:pStyle w:val="18"/>
              <w:widowControl w:val="0"/>
              <w:adjustRightInd w:val="0"/>
              <w:snapToGrid w:val="0"/>
              <w:spacing w:line="360" w:lineRule="auto"/>
              <w:rPr>
                <w:rFonts w:ascii="宋体" w:hAnsi="宋体"/>
                <w:b/>
                <w:bCs/>
                <w:color w:val="auto"/>
                <w:highlight w:val="none"/>
              </w:rPr>
            </w:pPr>
          </w:p>
        </w:tc>
        <w:tc>
          <w:tcPr>
            <w:tcW w:w="1667" w:type="pct"/>
            <w:vAlign w:val="center"/>
          </w:tcPr>
          <w:p w14:paraId="20D24043">
            <w:pPr>
              <w:pStyle w:val="18"/>
              <w:widowControl w:val="0"/>
              <w:adjustRightInd w:val="0"/>
              <w:snapToGrid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3CF80EE6">
            <w:pPr>
              <w:pStyle w:val="18"/>
              <w:widowControl w:val="0"/>
              <w:adjustRightInd w:val="0"/>
              <w:snapToGrid w:val="0"/>
              <w:spacing w:line="360" w:lineRule="auto"/>
              <w:rPr>
                <w:rFonts w:ascii="宋体" w:hAnsi="宋体"/>
                <w:b/>
                <w:bCs/>
                <w:color w:val="auto"/>
                <w:highlight w:val="none"/>
              </w:rPr>
            </w:pPr>
            <w:r>
              <w:rPr>
                <w:rFonts w:ascii="宋体" w:hAnsi="宋体"/>
                <w:b/>
                <w:bCs/>
                <w:color w:val="auto"/>
                <w:highlight w:val="none"/>
              </w:rPr>
              <w:t>单罐容积</w:t>
            </w:r>
          </w:p>
        </w:tc>
      </w:tr>
      <w:tr w14:paraId="7D790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593720A">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348AE6EA">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4FC96D75">
            <w:pPr>
              <w:pStyle w:val="18"/>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5DACE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654C4E0">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1D118118">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439246A4">
            <w:pPr>
              <w:pStyle w:val="18"/>
              <w:widowControl w:val="0"/>
              <w:adjustRightInd w:val="0"/>
              <w:snapToGrid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18E5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C675E29">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34943944">
            <w:pPr>
              <w:pStyle w:val="18"/>
              <w:widowControl w:val="0"/>
              <w:adjustRightInd w:val="0"/>
              <w:snapToGrid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3565AE89">
            <w:pPr>
              <w:pStyle w:val="18"/>
              <w:widowControl w:val="0"/>
              <w:adjustRightInd w:val="0"/>
              <w:snapToGrid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3866AAD5">
      <w:pPr>
        <w:pStyle w:val="19"/>
        <w:widowControl w:val="0"/>
        <w:adjustRightInd w:val="0"/>
        <w:snapToGrid w:val="0"/>
        <w:spacing w:line="360" w:lineRule="auto"/>
        <w:ind w:firstLine="436"/>
        <w:rPr>
          <w:rFonts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55B47349">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该站现有职工5人，其中主要负责人1人，安全生产管理员1人。主要负责人和安全生产管理人员已参加了危险化学品安全管理培训，并取得考核合格证，详见附页。</w:t>
      </w:r>
    </w:p>
    <w:p w14:paraId="611A95CD">
      <w:pPr>
        <w:adjustRightInd w:val="0"/>
        <w:snapToGrid w:val="0"/>
        <w:spacing w:line="360" w:lineRule="auto"/>
        <w:ind w:firstLine="560" w:firstLineChars="200"/>
        <w:rPr>
          <w:rFonts w:hint="eastAsia" w:ascii="宋体" w:hAnsi="宋体" w:eastAsia="宋体" w:cs="Times New Roman"/>
          <w:b w:val="0"/>
          <w:bCs w:val="0"/>
          <w:color w:val="auto"/>
          <w:sz w:val="28"/>
          <w:highlight w:val="none"/>
        </w:rPr>
      </w:pPr>
      <w:r>
        <w:rPr>
          <w:rFonts w:hint="eastAsia" w:ascii="宋体" w:hAnsi="宋体" w:eastAsia="宋体" w:cs="Times New Roman"/>
          <w:b w:val="0"/>
          <w:bCs w:val="0"/>
          <w:color w:val="auto"/>
          <w:sz w:val="28"/>
          <w:highlight w:val="none"/>
        </w:rPr>
        <w:t>加油站于2000年5月20日取得了泰安市岱岳区公安消防大队出具了《易燃易爆化学物品消防安全许可证》，证书编号：公消监</w:t>
      </w:r>
      <w:r>
        <w:rPr>
          <w:rFonts w:hint="eastAsia" w:ascii="宋体" w:hAnsi="宋体" w:eastAsia="宋体" w:cs="Times New Roman"/>
          <w:b w:val="0"/>
          <w:bCs w:val="0"/>
          <w:color w:val="auto"/>
          <w:sz w:val="28"/>
          <w:highlight w:val="none"/>
          <w:lang w:eastAsia="zh-CN"/>
        </w:rPr>
        <w:t>（</w:t>
      </w:r>
      <w:r>
        <w:rPr>
          <w:rFonts w:hint="eastAsia" w:ascii="宋体" w:hAnsi="宋体" w:eastAsia="宋体" w:cs="Times New Roman"/>
          <w:b w:val="0"/>
          <w:bCs w:val="0"/>
          <w:color w:val="auto"/>
          <w:sz w:val="28"/>
          <w:highlight w:val="none"/>
        </w:rPr>
        <w:t>2000</w:t>
      </w:r>
      <w:r>
        <w:rPr>
          <w:rFonts w:hint="eastAsia" w:ascii="宋体" w:hAnsi="宋体" w:eastAsia="宋体" w:cs="Times New Roman"/>
          <w:b w:val="0"/>
          <w:bCs w:val="0"/>
          <w:color w:val="auto"/>
          <w:sz w:val="28"/>
          <w:highlight w:val="none"/>
          <w:lang w:eastAsia="zh-CN"/>
        </w:rPr>
        <w:t>）</w:t>
      </w:r>
      <w:r>
        <w:rPr>
          <w:rFonts w:hint="eastAsia" w:ascii="宋体" w:hAnsi="宋体" w:eastAsia="宋体" w:cs="Times New Roman"/>
          <w:b w:val="0"/>
          <w:bCs w:val="0"/>
          <w:color w:val="auto"/>
          <w:sz w:val="28"/>
          <w:highlight w:val="none"/>
        </w:rPr>
        <w:t>危储字022号，详见附件。</w:t>
      </w:r>
    </w:p>
    <w:p w14:paraId="06B7A36C">
      <w:pPr>
        <w:adjustRightInd w:val="0"/>
        <w:snapToGrid w:val="0"/>
        <w:spacing w:line="360" w:lineRule="auto"/>
        <w:ind w:firstLine="560" w:firstLineChars="200"/>
        <w:rPr>
          <w:rFonts w:ascii="宋体" w:hAnsi="宋体"/>
          <w:color w:val="auto"/>
          <w:sz w:val="28"/>
          <w:highlight w:val="none"/>
        </w:rPr>
      </w:pPr>
      <w:r>
        <w:rPr>
          <w:rFonts w:hint="eastAsia" w:ascii="宋体" w:hAnsi="宋体"/>
          <w:b w:val="0"/>
          <w:bCs w:val="0"/>
          <w:color w:val="auto"/>
          <w:sz w:val="28"/>
          <w:highlight w:val="none"/>
        </w:rPr>
        <w:t>泰安市岱岳区范镇蓝天加油站于2003年4月14日与范西村委签定了《协议书》，土地使用年限50年，有效期</w:t>
      </w:r>
      <w:r>
        <w:rPr>
          <w:rFonts w:hint="eastAsia" w:ascii="宋体" w:hAnsi="宋体"/>
          <w:color w:val="auto"/>
          <w:sz w:val="28"/>
          <w:highlight w:val="none"/>
        </w:rPr>
        <w:t>至2053年4月13日，详见附件。</w:t>
      </w:r>
    </w:p>
    <w:p w14:paraId="323449C2">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21</w:t>
      </w:r>
      <w:r>
        <w:rPr>
          <w:rFonts w:ascii="宋体"/>
          <w:color w:val="auto"/>
          <w:highlight w:val="none"/>
        </w:rPr>
        <w:t>年</w:t>
      </w:r>
      <w:r>
        <w:rPr>
          <w:rFonts w:hint="eastAsia" w:ascii="宋体"/>
          <w:color w:val="auto"/>
          <w:highlight w:val="none"/>
        </w:rPr>
        <w:t>05</w:t>
      </w:r>
      <w:r>
        <w:rPr>
          <w:rFonts w:ascii="宋体"/>
          <w:color w:val="auto"/>
          <w:highlight w:val="none"/>
        </w:rPr>
        <w:t>月</w:t>
      </w:r>
      <w:r>
        <w:rPr>
          <w:rFonts w:hint="eastAsia" w:ascii="宋体"/>
          <w:color w:val="auto"/>
          <w:highlight w:val="none"/>
        </w:rPr>
        <w:t>07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鲁油零售证书第3709033063</w:t>
      </w:r>
      <w:r>
        <w:rPr>
          <w:rFonts w:ascii="宋体"/>
          <w:color w:val="auto"/>
          <w:highlight w:val="none"/>
        </w:rPr>
        <w:t>号</w:t>
      </w:r>
      <w:r>
        <w:rPr>
          <w:rFonts w:hint="eastAsia" w:ascii="宋体"/>
          <w:color w:val="auto"/>
          <w:highlight w:val="none"/>
        </w:rPr>
        <w:t>，证书有效期至2026年05月07日，证书见附件</w:t>
      </w:r>
      <w:r>
        <w:rPr>
          <w:rFonts w:ascii="宋体"/>
          <w:color w:val="auto"/>
          <w:highlight w:val="none"/>
        </w:rPr>
        <w:t>。</w:t>
      </w:r>
    </w:p>
    <w:p w14:paraId="1AFE7344">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22年6月20日换发了《危险化学品经营许可证》，证书编号：鲁泰危化经[2022]000265号，证书有效期至2025年6月20日，证书见附件。</w:t>
      </w:r>
    </w:p>
    <w:p w14:paraId="2E98BEBD">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该站在中国人民财产保险股份有限公司泰安市分公司投保安全生产责任保险，保险期限2024年07月26日至2025年07月25日，详见附件。</w:t>
      </w:r>
    </w:p>
    <w:p w14:paraId="34DA13A1">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该站编制了生产安全事故应急预案，于2025年4月24日在泰安市应急管理局进行了备案，备案编号为：3709112025026，详见附件。</w:t>
      </w:r>
    </w:p>
    <w:p w14:paraId="2D2FDF75">
      <w:pPr>
        <w:adjustRightInd w:val="0"/>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山东天科防雷工程有限公司对该站进行了相关防雷设施的检测，出具了合格的《雷电防护装置定期检测报告》，报告编号：（1122016001）[2025]D-TA0</w:t>
      </w:r>
      <w:r>
        <w:rPr>
          <w:rFonts w:hint="eastAsia" w:ascii="宋体" w:hAnsi="宋体"/>
          <w:color w:val="auto"/>
          <w:sz w:val="28"/>
          <w:highlight w:val="none"/>
          <w:lang w:val="en-US" w:eastAsia="zh-CN"/>
        </w:rPr>
        <w:t>00</w:t>
      </w:r>
      <w:r>
        <w:rPr>
          <w:rFonts w:hint="eastAsia" w:ascii="宋体" w:hAnsi="宋体"/>
          <w:color w:val="auto"/>
          <w:sz w:val="28"/>
          <w:highlight w:val="none"/>
        </w:rPr>
        <w:t>号，防雷类别：二类，结论为“合格：加油站雷电防护装置符合现行国家防雷规范标准要求”，有效期至2025年1</w:t>
      </w:r>
      <w:r>
        <w:rPr>
          <w:rFonts w:hint="eastAsia" w:ascii="宋体" w:hAnsi="宋体"/>
          <w:color w:val="auto"/>
          <w:sz w:val="28"/>
          <w:highlight w:val="none"/>
          <w:lang w:val="en-US" w:eastAsia="zh-CN"/>
        </w:rPr>
        <w:t>2</w:t>
      </w:r>
      <w:r>
        <w:rPr>
          <w:rFonts w:hint="eastAsia" w:ascii="宋体" w:hAnsi="宋体"/>
          <w:color w:val="auto"/>
          <w:sz w:val="28"/>
          <w:highlight w:val="none"/>
        </w:rPr>
        <w:t>月1</w:t>
      </w:r>
      <w:r>
        <w:rPr>
          <w:rFonts w:hint="eastAsia" w:ascii="宋体" w:hAnsi="宋体"/>
          <w:color w:val="auto"/>
          <w:sz w:val="28"/>
          <w:highlight w:val="none"/>
          <w:lang w:val="en-US" w:eastAsia="zh-CN"/>
        </w:rPr>
        <w:t>0</w:t>
      </w:r>
      <w:r>
        <w:rPr>
          <w:rFonts w:hint="eastAsia" w:ascii="宋体" w:hAnsi="宋体"/>
          <w:color w:val="auto"/>
          <w:sz w:val="28"/>
          <w:highlight w:val="none"/>
        </w:rPr>
        <w:t>日，检测报告见附件。</w:t>
      </w:r>
    </w:p>
    <w:p w14:paraId="209C486C">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26932490">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2具，8kg手提式干粉灭火器4具，灭火毯4块，消防锨2把，消防桶2个，消防沙池2m</w:t>
      </w:r>
      <w:r>
        <w:rPr>
          <w:rFonts w:hint="eastAsia" w:ascii="宋体"/>
          <w:color w:val="auto"/>
          <w:highlight w:val="none"/>
          <w:vertAlign w:val="superscript"/>
        </w:rPr>
        <w:t>3</w:t>
      </w:r>
      <w:r>
        <w:rPr>
          <w:rFonts w:hint="eastAsia" w:ascii="宋体"/>
          <w:color w:val="auto"/>
          <w:highlight w:val="none"/>
        </w:rPr>
        <w:t>。</w:t>
      </w:r>
    </w:p>
    <w:p w14:paraId="41C454C1">
      <w:pPr>
        <w:pStyle w:val="16"/>
        <w:spacing w:before="312" w:after="312"/>
        <w:rPr>
          <w:color w:val="auto"/>
          <w:highlight w:val="none"/>
        </w:rPr>
      </w:pPr>
      <w:r>
        <w:rPr>
          <w:rFonts w:hint="eastAsia"/>
          <w:color w:val="auto"/>
          <w:highlight w:val="none"/>
        </w:rPr>
        <w:t>第四章 评价单元划分与评价方法选择</w:t>
      </w:r>
    </w:p>
    <w:p w14:paraId="23F4598A">
      <w:pPr>
        <w:pStyle w:val="3"/>
        <w:spacing w:before="312" w:beforeLines="100" w:after="312" w:afterLines="100" w:line="360" w:lineRule="auto"/>
        <w:ind w:firstLine="0"/>
        <w:rPr>
          <w:color w:val="auto"/>
          <w:highlight w:val="none"/>
        </w:rPr>
      </w:pPr>
      <w:bookmarkStart w:id="16" w:name="_Toc198026273"/>
      <w:bookmarkStart w:id="17" w:name="_Toc12643"/>
      <w:bookmarkStart w:id="18" w:name="_Toc102634256"/>
      <w:bookmarkStart w:id="19" w:name="_Toc23543"/>
      <w:bookmarkStart w:id="20" w:name="_Toc102633981"/>
      <w:bookmarkStart w:id="21" w:name="_Toc272364536"/>
      <w:bookmarkStart w:id="22" w:name="_Toc15033754"/>
      <w:bookmarkStart w:id="23" w:name="_Toc102633907"/>
      <w:bookmarkStart w:id="24" w:name="_Toc192907201"/>
      <w:bookmarkStart w:id="25" w:name="_Toc7829"/>
      <w:bookmarkStart w:id="26" w:name="_Toc102634407"/>
      <w:bookmarkStart w:id="27" w:name="_Toc238007574"/>
      <w:r>
        <w:rPr>
          <w:rFonts w:hint="eastAsia"/>
          <w:color w:val="auto"/>
          <w:highlight w:val="none"/>
        </w:rPr>
        <w:t>第一节 评价单元的划分</w:t>
      </w:r>
      <w:bookmarkEnd w:id="16"/>
      <w:bookmarkEnd w:id="17"/>
      <w:bookmarkEnd w:id="18"/>
      <w:bookmarkEnd w:id="19"/>
      <w:bookmarkEnd w:id="20"/>
      <w:bookmarkEnd w:id="21"/>
      <w:bookmarkEnd w:id="22"/>
      <w:bookmarkEnd w:id="23"/>
      <w:bookmarkEnd w:id="24"/>
      <w:bookmarkEnd w:id="25"/>
      <w:bookmarkEnd w:id="26"/>
      <w:bookmarkEnd w:id="27"/>
    </w:p>
    <w:p w14:paraId="701BCC69">
      <w:pPr>
        <w:pStyle w:val="15"/>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757DCAB5">
      <w:pPr>
        <w:pStyle w:val="20"/>
        <w:widowControl w:val="0"/>
        <w:adjustRightInd w:val="0"/>
        <w:snapToGrid w:val="0"/>
        <w:spacing w:line="360" w:lineRule="auto"/>
        <w:ind w:firstLine="560"/>
        <w:jc w:val="both"/>
        <w:rPr>
          <w:color w:val="auto"/>
          <w:highlight w:val="none"/>
        </w:rPr>
      </w:pPr>
      <w:bookmarkStart w:id="28" w:name="_Toc102634257"/>
      <w:r>
        <w:rPr>
          <w:rFonts w:hint="eastAsia"/>
          <w:color w:val="auto"/>
          <w:highlight w:val="none"/>
        </w:rPr>
        <w:t>一</w:t>
      </w:r>
      <w:r>
        <w:rPr>
          <w:color w:val="auto"/>
          <w:highlight w:val="none"/>
        </w:rPr>
        <w:t>、以危险有害因素的类别为主划分评价单元</w:t>
      </w:r>
      <w:bookmarkEnd w:id="28"/>
    </w:p>
    <w:p w14:paraId="75D6779D">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3FB7B799">
      <w:pPr>
        <w:pStyle w:val="15"/>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060B4246">
      <w:pPr>
        <w:pStyle w:val="20"/>
        <w:widowControl w:val="0"/>
        <w:adjustRightInd w:val="0"/>
        <w:snapToGrid w:val="0"/>
        <w:spacing w:line="360" w:lineRule="auto"/>
        <w:ind w:firstLine="560"/>
        <w:jc w:val="both"/>
        <w:rPr>
          <w:color w:val="auto"/>
          <w:highlight w:val="none"/>
        </w:rPr>
      </w:pPr>
      <w:bookmarkStart w:id="29" w:name="_Toc102634258"/>
      <w:r>
        <w:rPr>
          <w:rFonts w:hint="eastAsia"/>
          <w:color w:val="auto"/>
          <w:highlight w:val="none"/>
        </w:rPr>
        <w:t>二</w:t>
      </w:r>
      <w:r>
        <w:rPr>
          <w:color w:val="auto"/>
          <w:highlight w:val="none"/>
        </w:rPr>
        <w:t>、以物质特征划分评价单元</w:t>
      </w:r>
      <w:bookmarkEnd w:id="29"/>
    </w:p>
    <w:p w14:paraId="78FA3B29">
      <w:pPr>
        <w:pStyle w:val="15"/>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32BC9BE4">
      <w:pPr>
        <w:pStyle w:val="15"/>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08B54762">
      <w:pPr>
        <w:pStyle w:val="15"/>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rPr>
        <w:t>四</w:t>
      </w:r>
      <w:r>
        <w:rPr>
          <w:rFonts w:ascii="宋体"/>
          <w:color w:val="auto"/>
          <w:highlight w:val="none"/>
        </w:rPr>
        <w:t>个单元：</w:t>
      </w:r>
    </w:p>
    <w:p w14:paraId="2D802E01">
      <w:pPr>
        <w:pStyle w:val="15"/>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2971A712">
      <w:pPr>
        <w:pStyle w:val="15"/>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082314B1">
      <w:pPr>
        <w:pStyle w:val="15"/>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44DD71CA">
      <w:pPr>
        <w:pStyle w:val="15"/>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7E6321A7">
      <w:pPr>
        <w:pStyle w:val="3"/>
        <w:spacing w:before="312" w:beforeLines="100" w:after="312" w:afterLines="100" w:line="360" w:lineRule="auto"/>
        <w:ind w:firstLine="0"/>
        <w:rPr>
          <w:color w:val="auto"/>
          <w:highlight w:val="none"/>
        </w:rPr>
      </w:pPr>
      <w:bookmarkStart w:id="30" w:name="_Toc102634408"/>
      <w:bookmarkStart w:id="31" w:name="_Toc22810"/>
      <w:bookmarkStart w:id="32" w:name="_Toc102633982"/>
      <w:bookmarkStart w:id="33" w:name="_Toc102633908"/>
      <w:bookmarkStart w:id="34" w:name="_Toc102634259"/>
      <w:r>
        <w:rPr>
          <w:rFonts w:hint="eastAsia"/>
          <w:color w:val="auto"/>
          <w:highlight w:val="none"/>
        </w:rPr>
        <w:t>第二节 评价方法的选择</w:t>
      </w:r>
      <w:bookmarkEnd w:id="30"/>
      <w:bookmarkEnd w:id="31"/>
      <w:bookmarkEnd w:id="32"/>
      <w:bookmarkEnd w:id="33"/>
      <w:bookmarkEnd w:id="34"/>
    </w:p>
    <w:p w14:paraId="3C0F0A9D">
      <w:pPr>
        <w:pStyle w:val="15"/>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2817081F">
      <w:pPr>
        <w:pStyle w:val="15"/>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69F53FF">
      <w:pPr>
        <w:pStyle w:val="15"/>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泰安市岱岳区范镇蓝天加油站</w:t>
      </w:r>
      <w:r>
        <w:rPr>
          <w:rFonts w:ascii="宋体"/>
          <w:color w:val="auto"/>
          <w:highlight w:val="none"/>
        </w:rPr>
        <w:t>的具体情况，选用安全检查表、事故树法及危险度评价法对加油站进行评价。具体应用如下表所示：</w:t>
      </w:r>
    </w:p>
    <w:p w14:paraId="79662318">
      <w:pPr>
        <w:pStyle w:val="17"/>
        <w:widowControl w:val="0"/>
        <w:adjustRightInd w:val="0"/>
        <w:snapToGrid w:val="0"/>
        <w:outlineLvl w:val="9"/>
        <w:rPr>
          <w:rFonts w:ascii="黑体" w:hAnsi="黑体"/>
          <w:color w:val="auto"/>
          <w:highlight w:val="none"/>
        </w:rPr>
      </w:pPr>
      <w:r>
        <w:rPr>
          <w:rFonts w:ascii="黑体" w:hAnsi="黑体"/>
          <w:color w:val="auto"/>
          <w:highlight w:val="none"/>
        </w:rPr>
        <w:t>表4.2-1 评价方法选择一览表</w:t>
      </w:r>
    </w:p>
    <w:tbl>
      <w:tblPr>
        <w:tblStyle w:val="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4B01A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E5D382B">
            <w:pPr>
              <w:pStyle w:val="18"/>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3940AB8E">
            <w:pPr>
              <w:pStyle w:val="18"/>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01022993">
            <w:pPr>
              <w:pStyle w:val="18"/>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54FA8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A9872CF">
            <w:pPr>
              <w:pStyle w:val="18"/>
              <w:widowControl w:val="0"/>
              <w:adjustRightInd w:val="0"/>
              <w:snapToGrid w:val="0"/>
              <w:spacing w:line="360" w:lineRule="auto"/>
              <w:rPr>
                <w:rFonts w:ascii="宋体"/>
                <w:b/>
                <w:color w:val="auto"/>
                <w:highlight w:val="none"/>
                <w:lang w:val="en-GB"/>
              </w:rPr>
            </w:pPr>
          </w:p>
        </w:tc>
        <w:tc>
          <w:tcPr>
            <w:tcW w:w="1285" w:type="pct"/>
            <w:vMerge w:val="continue"/>
            <w:vAlign w:val="center"/>
          </w:tcPr>
          <w:p w14:paraId="65792359">
            <w:pPr>
              <w:pStyle w:val="18"/>
              <w:widowControl w:val="0"/>
              <w:adjustRightInd w:val="0"/>
              <w:snapToGrid w:val="0"/>
              <w:spacing w:line="360" w:lineRule="auto"/>
              <w:rPr>
                <w:rFonts w:ascii="宋体"/>
                <w:b/>
                <w:color w:val="auto"/>
                <w:highlight w:val="none"/>
              </w:rPr>
            </w:pPr>
          </w:p>
        </w:tc>
        <w:tc>
          <w:tcPr>
            <w:tcW w:w="1196" w:type="pct"/>
            <w:vAlign w:val="center"/>
          </w:tcPr>
          <w:p w14:paraId="734DF75A">
            <w:pPr>
              <w:pStyle w:val="18"/>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111738BA">
            <w:pPr>
              <w:pStyle w:val="18"/>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42E7E2F4">
            <w:pPr>
              <w:pStyle w:val="18"/>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2FE23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AB3491B">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3B085CF0">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4AE22BA5">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1B12537">
            <w:pPr>
              <w:pStyle w:val="18"/>
              <w:widowControl w:val="0"/>
              <w:adjustRightInd w:val="0"/>
              <w:snapToGrid w:val="0"/>
              <w:spacing w:line="360" w:lineRule="auto"/>
              <w:rPr>
                <w:rFonts w:ascii="宋体"/>
                <w:color w:val="auto"/>
                <w:highlight w:val="none"/>
              </w:rPr>
            </w:pPr>
          </w:p>
        </w:tc>
        <w:tc>
          <w:tcPr>
            <w:tcW w:w="972" w:type="pct"/>
            <w:vAlign w:val="center"/>
          </w:tcPr>
          <w:p w14:paraId="63EDABBC">
            <w:pPr>
              <w:pStyle w:val="18"/>
              <w:widowControl w:val="0"/>
              <w:adjustRightInd w:val="0"/>
              <w:snapToGrid w:val="0"/>
              <w:spacing w:line="360" w:lineRule="auto"/>
              <w:rPr>
                <w:rFonts w:ascii="宋体"/>
                <w:color w:val="auto"/>
                <w:highlight w:val="none"/>
              </w:rPr>
            </w:pPr>
          </w:p>
        </w:tc>
      </w:tr>
      <w:tr w14:paraId="75746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432C4CF">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7AB4F630">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0B558A19">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B9FA1E5">
            <w:pPr>
              <w:pStyle w:val="18"/>
              <w:widowControl w:val="0"/>
              <w:adjustRightInd w:val="0"/>
              <w:snapToGrid w:val="0"/>
              <w:spacing w:line="360" w:lineRule="auto"/>
              <w:rPr>
                <w:rFonts w:ascii="宋体"/>
                <w:color w:val="auto"/>
                <w:highlight w:val="none"/>
              </w:rPr>
            </w:pPr>
          </w:p>
        </w:tc>
        <w:tc>
          <w:tcPr>
            <w:tcW w:w="972" w:type="pct"/>
            <w:vAlign w:val="center"/>
          </w:tcPr>
          <w:p w14:paraId="6612AC99">
            <w:pPr>
              <w:pStyle w:val="18"/>
              <w:widowControl w:val="0"/>
              <w:adjustRightInd w:val="0"/>
              <w:snapToGrid w:val="0"/>
              <w:spacing w:line="360" w:lineRule="auto"/>
              <w:rPr>
                <w:rFonts w:ascii="宋体"/>
                <w:color w:val="auto"/>
                <w:highlight w:val="none"/>
              </w:rPr>
            </w:pPr>
          </w:p>
        </w:tc>
      </w:tr>
      <w:tr w14:paraId="37505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D479E7D">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0F97E047">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5083C67A">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6A62297C">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52DE5ADA">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5341E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F4478F0">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20E059E5">
            <w:pPr>
              <w:pStyle w:val="18"/>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9E55D56">
            <w:pPr>
              <w:pStyle w:val="18"/>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4F3AA075">
            <w:pPr>
              <w:pStyle w:val="18"/>
              <w:widowControl w:val="0"/>
              <w:adjustRightInd w:val="0"/>
              <w:snapToGrid w:val="0"/>
              <w:spacing w:line="360" w:lineRule="auto"/>
              <w:rPr>
                <w:rFonts w:ascii="宋体"/>
                <w:color w:val="auto"/>
                <w:highlight w:val="none"/>
              </w:rPr>
            </w:pPr>
          </w:p>
        </w:tc>
        <w:tc>
          <w:tcPr>
            <w:tcW w:w="972" w:type="pct"/>
            <w:vAlign w:val="center"/>
          </w:tcPr>
          <w:p w14:paraId="172A77C8">
            <w:pPr>
              <w:pStyle w:val="18"/>
              <w:widowControl w:val="0"/>
              <w:adjustRightInd w:val="0"/>
              <w:snapToGrid w:val="0"/>
              <w:spacing w:line="360" w:lineRule="auto"/>
              <w:rPr>
                <w:rFonts w:ascii="宋体"/>
                <w:color w:val="auto"/>
                <w:highlight w:val="none"/>
              </w:rPr>
            </w:pPr>
          </w:p>
        </w:tc>
      </w:tr>
    </w:tbl>
    <w:p w14:paraId="234F8963">
      <w:pPr>
        <w:pStyle w:val="15"/>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3D565ABB">
      <w:pPr>
        <w:pStyle w:val="19"/>
        <w:widowControl w:val="0"/>
        <w:snapToGrid w:val="0"/>
        <w:spacing w:line="360" w:lineRule="auto"/>
        <w:ind w:firstLine="872" w:firstLineChars="400"/>
        <w:rPr>
          <w:color w:val="auto"/>
          <w:highlight w:val="none"/>
        </w:rPr>
      </w:pPr>
    </w:p>
    <w:p w14:paraId="2F4766DE">
      <w:pPr>
        <w:pStyle w:val="16"/>
        <w:spacing w:before="312" w:after="312"/>
        <w:rPr>
          <w:color w:val="auto"/>
          <w:highlight w:val="none"/>
        </w:rPr>
      </w:pPr>
      <w:bookmarkStart w:id="35" w:name="_Toc7871"/>
      <w:r>
        <w:rPr>
          <w:rFonts w:hint="eastAsia"/>
          <w:color w:val="auto"/>
          <w:highlight w:val="none"/>
        </w:rPr>
        <w:t>第六章  安全对策措施及建议</w:t>
      </w:r>
      <w:bookmarkEnd w:id="35"/>
    </w:p>
    <w:p w14:paraId="614212B6">
      <w:pPr>
        <w:pStyle w:val="3"/>
        <w:spacing w:before="312" w:beforeLines="100" w:after="312" w:afterLines="100" w:line="360" w:lineRule="auto"/>
        <w:ind w:firstLine="0"/>
        <w:rPr>
          <w:color w:val="auto"/>
          <w:highlight w:val="none"/>
        </w:rPr>
      </w:pPr>
      <w:bookmarkStart w:id="36" w:name="_Toc339456079"/>
      <w:bookmarkStart w:id="37" w:name="_Toc225046264"/>
      <w:bookmarkStart w:id="38" w:name="_Toc102633915"/>
      <w:bookmarkStart w:id="39" w:name="_Toc4961"/>
      <w:bookmarkStart w:id="40" w:name="_Toc15033762"/>
      <w:bookmarkStart w:id="41" w:name="_Toc102633989"/>
      <w:bookmarkStart w:id="42" w:name="_Toc102634277"/>
      <w:bookmarkStart w:id="43" w:name="_Toc102634415"/>
      <w:bookmarkStart w:id="44" w:name="_Toc2607"/>
      <w:bookmarkStart w:id="45" w:name="_Toc242065302"/>
      <w:bookmarkStart w:id="46" w:name="_Toc348877039"/>
      <w:r>
        <w:rPr>
          <w:rFonts w:hint="eastAsia"/>
          <w:color w:val="auto"/>
          <w:highlight w:val="none"/>
        </w:rPr>
        <w:t xml:space="preserve">第一节 </w:t>
      </w:r>
      <w:bookmarkEnd w:id="36"/>
      <w:bookmarkEnd w:id="37"/>
      <w:r>
        <w:rPr>
          <w:rFonts w:hint="eastAsia"/>
          <w:color w:val="auto"/>
          <w:highlight w:val="none"/>
        </w:rPr>
        <w:t>存在的问题及整改建议</w:t>
      </w:r>
      <w:bookmarkEnd w:id="38"/>
      <w:bookmarkEnd w:id="39"/>
      <w:bookmarkEnd w:id="40"/>
      <w:bookmarkEnd w:id="41"/>
      <w:bookmarkEnd w:id="42"/>
      <w:bookmarkEnd w:id="43"/>
      <w:bookmarkEnd w:id="44"/>
      <w:bookmarkEnd w:id="45"/>
      <w:bookmarkEnd w:id="46"/>
    </w:p>
    <w:p w14:paraId="3ED4B592">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47" w:name="_Toc49590281"/>
      <w:bookmarkStart w:id="48" w:name="_Toc15033763"/>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47"/>
      <w:bookmarkEnd w:id="48"/>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014679A2">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7"/>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4636F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7B4FC4B">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453F84D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30D7146A">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0F3B4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BF1765">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3845" w:type="dxa"/>
            <w:vAlign w:val="center"/>
          </w:tcPr>
          <w:p w14:paraId="4EF14EC3">
            <w:pPr>
              <w:jc w:val="center"/>
              <w:rPr>
                <w:rFonts w:ascii="宋体" w:hAnsi="宋体"/>
                <w:color w:val="auto"/>
                <w:kern w:val="0"/>
                <w:highlight w:val="none"/>
                <w:u w:color="000000"/>
              </w:rPr>
            </w:pPr>
            <w:r>
              <w:rPr>
                <w:rFonts w:hint="eastAsia" w:ascii="宋体" w:hAnsi="宋体"/>
                <w:color w:val="auto"/>
                <w:spacing w:val="10"/>
                <w:highlight w:val="none"/>
              </w:rPr>
              <w:t>油罐操作井井盖无油品标识，油罐操作井内管道无介质流向标识。</w:t>
            </w:r>
          </w:p>
        </w:tc>
        <w:tc>
          <w:tcPr>
            <w:tcW w:w="4740" w:type="dxa"/>
            <w:shd w:val="clear" w:color="auto" w:fill="auto"/>
            <w:vAlign w:val="center"/>
          </w:tcPr>
          <w:p w14:paraId="1A677D36">
            <w:pPr>
              <w:jc w:val="center"/>
              <w:rPr>
                <w:rFonts w:ascii="宋体" w:hAnsi="宋体"/>
                <w:color w:val="auto"/>
                <w:kern w:val="0"/>
                <w:highlight w:val="none"/>
                <w:u w:color="000000"/>
              </w:rPr>
            </w:pPr>
            <w:r>
              <w:rPr>
                <w:rFonts w:hint="eastAsia" w:ascii="宋体" w:hAnsi="宋体"/>
                <w:color w:val="auto"/>
                <w:spacing w:val="10"/>
                <w:highlight w:val="none"/>
              </w:rPr>
              <w:t>油罐操作井井盖应设油品标识，油罐操作井内管道应设介质流向标识。</w:t>
            </w:r>
          </w:p>
        </w:tc>
      </w:tr>
      <w:tr w14:paraId="11B50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7D8988">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2</w:t>
            </w:r>
          </w:p>
        </w:tc>
        <w:tc>
          <w:tcPr>
            <w:tcW w:w="3845" w:type="dxa"/>
            <w:vAlign w:val="center"/>
          </w:tcPr>
          <w:p w14:paraId="1B120E8F">
            <w:pPr>
              <w:jc w:val="center"/>
              <w:rPr>
                <w:rFonts w:ascii="宋体" w:hAnsi="宋体"/>
                <w:color w:val="auto"/>
                <w:spacing w:val="10"/>
                <w:highlight w:val="none"/>
              </w:rPr>
            </w:pPr>
            <w:r>
              <w:rPr>
                <w:rStyle w:val="9"/>
                <w:rFonts w:hint="eastAsia"/>
                <w:color w:val="auto"/>
                <w:highlight w:val="none"/>
                <w:u w:color="000000"/>
              </w:rPr>
              <w:t>液位仪、测漏仪未设不间断电源。</w:t>
            </w:r>
          </w:p>
        </w:tc>
        <w:tc>
          <w:tcPr>
            <w:tcW w:w="4740" w:type="dxa"/>
            <w:shd w:val="clear" w:color="auto" w:fill="auto"/>
            <w:vAlign w:val="center"/>
          </w:tcPr>
          <w:p w14:paraId="1EC54A02">
            <w:pPr>
              <w:jc w:val="center"/>
              <w:rPr>
                <w:rFonts w:ascii="宋体" w:hAnsi="宋体"/>
                <w:color w:val="auto"/>
                <w:spacing w:val="10"/>
                <w:highlight w:val="none"/>
              </w:rPr>
            </w:pPr>
            <w:r>
              <w:rPr>
                <w:rStyle w:val="9"/>
                <w:rFonts w:hint="eastAsia"/>
                <w:color w:val="auto"/>
                <w:highlight w:val="none"/>
                <w:u w:color="000000"/>
              </w:rPr>
              <w:t>液位仪、测漏仪应设不间断电源。</w:t>
            </w:r>
          </w:p>
        </w:tc>
      </w:tr>
    </w:tbl>
    <w:p w14:paraId="4DD935D5">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20F309BE">
      <w:pPr>
        <w:widowControl/>
        <w:spacing w:line="360" w:lineRule="auto"/>
        <w:jc w:val="center"/>
        <w:textAlignment w:val="baseline"/>
        <w:rPr>
          <w:rFonts w:ascii="黑体" w:hAnsi="黑体" w:eastAsia="黑体" w:cs="黑体"/>
          <w:color w:val="auto"/>
          <w:kern w:val="0"/>
          <w:sz w:val="24"/>
          <w:szCs w:val="24"/>
          <w:highlight w:val="none"/>
          <w:u w:color="000000"/>
        </w:rPr>
      </w:pPr>
    </w:p>
    <w:p w14:paraId="29A5EEA8">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21985" cy="4291330"/>
            <wp:effectExtent l="0" t="0" r="8255" b="6350"/>
            <wp:docPr id="1" name="图片 1" descr="微信图片_2025061215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612152151"/>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21985" cy="4291330"/>
            <wp:effectExtent l="0" t="0" r="8255" b="6350"/>
            <wp:docPr id="2" name="图片 2" descr="微信图片_2025061215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612152206"/>
                    <pic:cNvPicPr>
                      <a:picLocks noChangeAspect="1"/>
                    </pic:cNvPicPr>
                  </pic:nvPicPr>
                  <pic:blipFill>
                    <a:blip r:embed="rId5"/>
                    <a:stretch>
                      <a:fillRect/>
                    </a:stretch>
                  </pic:blipFill>
                  <pic:spPr>
                    <a:xfrm>
                      <a:off x="0" y="0"/>
                      <a:ext cx="5721985" cy="4291330"/>
                    </a:xfrm>
                    <a:prstGeom prst="rect">
                      <a:avLst/>
                    </a:prstGeom>
                  </pic:spPr>
                </pic:pic>
              </a:graphicData>
            </a:graphic>
          </wp:inline>
        </w:drawing>
      </w: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2533015" cy="4503420"/>
            <wp:effectExtent l="0" t="0" r="12065" b="7620"/>
            <wp:docPr id="3" name="图片 3" descr="2fd03ff7ef3e46482a9c59681b4e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fd03ff7ef3e46482a9c59681b4eaa2"/>
                    <pic:cNvPicPr>
                      <a:picLocks noChangeAspect="1"/>
                    </pic:cNvPicPr>
                  </pic:nvPicPr>
                  <pic:blipFill>
                    <a:blip r:embed="rId6"/>
                    <a:stretch>
                      <a:fillRect/>
                    </a:stretch>
                  </pic:blipFill>
                  <pic:spPr>
                    <a:xfrm>
                      <a:off x="0" y="0"/>
                      <a:ext cx="2533015" cy="450342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80310" cy="4385310"/>
            <wp:effectExtent l="0" t="0" r="3810" b="3810"/>
            <wp:docPr id="4" name="图片 4" descr="557d59c3d4d5e52c59708ee980ec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57d59c3d4d5e52c59708ee980ec0c2"/>
                    <pic:cNvPicPr>
                      <a:picLocks noChangeAspect="1"/>
                    </pic:cNvPicPr>
                  </pic:nvPicPr>
                  <pic:blipFill>
                    <a:blip r:embed="rId7"/>
                    <a:stretch>
                      <a:fillRect/>
                    </a:stretch>
                  </pic:blipFill>
                  <pic:spPr>
                    <a:xfrm>
                      <a:off x="0" y="0"/>
                      <a:ext cx="2480310" cy="438531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0785" cy="3869055"/>
            <wp:effectExtent l="0" t="0" r="13335" b="1905"/>
            <wp:docPr id="5" name="图片 5" descr="ccf7d9c360b85b334ce68b4341aa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f7d9c360b85b334ce68b4341aa7ae"/>
                    <pic:cNvPicPr>
                      <a:picLocks noChangeAspect="1"/>
                    </pic:cNvPicPr>
                  </pic:nvPicPr>
                  <pic:blipFill>
                    <a:blip r:embed="rId8"/>
                    <a:stretch>
                      <a:fillRect/>
                    </a:stretch>
                  </pic:blipFill>
                  <pic:spPr>
                    <a:xfrm>
                      <a:off x="0" y="0"/>
                      <a:ext cx="2470785" cy="386905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1420" cy="3783965"/>
            <wp:effectExtent l="0" t="0" r="12700" b="10795"/>
            <wp:docPr id="6" name="图片 6" descr="f95fab7762a7fe79050bcc2b8137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5fab7762a7fe79050bcc2b8137b64"/>
                    <pic:cNvPicPr>
                      <a:picLocks noChangeAspect="1"/>
                    </pic:cNvPicPr>
                  </pic:nvPicPr>
                  <pic:blipFill>
                    <a:blip r:embed="rId9"/>
                    <a:stretch>
                      <a:fillRect/>
                    </a:stretch>
                  </pic:blipFill>
                  <pic:spPr>
                    <a:xfrm>
                      <a:off x="0" y="0"/>
                      <a:ext cx="2471420" cy="378396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3387090" cy="6021070"/>
            <wp:effectExtent l="0" t="0" r="13970" b="11430"/>
            <wp:docPr id="7" name="图片 7" descr="ef731fe1884329abe325b2564e5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f731fe1884329abe325b2564e52724"/>
                    <pic:cNvPicPr>
                      <a:picLocks noChangeAspect="1"/>
                    </pic:cNvPicPr>
                  </pic:nvPicPr>
                  <pic:blipFill>
                    <a:blip r:embed="rId10"/>
                    <a:stretch>
                      <a:fillRect/>
                    </a:stretch>
                  </pic:blipFill>
                  <pic:spPr>
                    <a:xfrm rot="16200000">
                      <a:off x="0" y="0"/>
                      <a:ext cx="3387090" cy="6021070"/>
                    </a:xfrm>
                    <a:prstGeom prst="rect">
                      <a:avLst/>
                    </a:prstGeom>
                  </pic:spPr>
                </pic:pic>
              </a:graphicData>
            </a:graphic>
          </wp:inline>
        </w:drawing>
      </w:r>
      <w:bookmarkStart w:id="49" w:name="_GoBack"/>
      <w:bookmarkEnd w:id="49"/>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BC1C2B"/>
    <w:rsid w:val="1C4A2E55"/>
    <w:rsid w:val="1DE92E23"/>
    <w:rsid w:val="1E1E483E"/>
    <w:rsid w:val="1FF73CD4"/>
    <w:rsid w:val="22CB7136"/>
    <w:rsid w:val="284F788D"/>
    <w:rsid w:val="2A9D36CA"/>
    <w:rsid w:val="2E5E68CC"/>
    <w:rsid w:val="2EC41433"/>
    <w:rsid w:val="2F917EEC"/>
    <w:rsid w:val="31297B3A"/>
    <w:rsid w:val="355F439E"/>
    <w:rsid w:val="35CC29B8"/>
    <w:rsid w:val="361E3E5D"/>
    <w:rsid w:val="37A6654A"/>
    <w:rsid w:val="38B36882"/>
    <w:rsid w:val="3BB85D78"/>
    <w:rsid w:val="3C176B62"/>
    <w:rsid w:val="420C1409"/>
    <w:rsid w:val="43CB4C37"/>
    <w:rsid w:val="4706325F"/>
    <w:rsid w:val="47290367"/>
    <w:rsid w:val="48FE4AE5"/>
    <w:rsid w:val="4ECC7680"/>
    <w:rsid w:val="4F5D6EDB"/>
    <w:rsid w:val="537F016A"/>
    <w:rsid w:val="563D798B"/>
    <w:rsid w:val="567C6788"/>
    <w:rsid w:val="579A241E"/>
    <w:rsid w:val="58840D76"/>
    <w:rsid w:val="5C8B1D2D"/>
    <w:rsid w:val="5D511379"/>
    <w:rsid w:val="60962E78"/>
    <w:rsid w:val="60FB542C"/>
    <w:rsid w:val="636808F8"/>
    <w:rsid w:val="64FD4259"/>
    <w:rsid w:val="6A640607"/>
    <w:rsid w:val="6AD40467"/>
    <w:rsid w:val="6B3179BA"/>
    <w:rsid w:val="6BF95CAB"/>
    <w:rsid w:val="6C4D48B3"/>
    <w:rsid w:val="6D0669CA"/>
    <w:rsid w:val="6FDF53A7"/>
    <w:rsid w:val="717A11AE"/>
    <w:rsid w:val="72FD2CFB"/>
    <w:rsid w:val="74AE7C8C"/>
    <w:rsid w:val="76511CAD"/>
    <w:rsid w:val="7772596D"/>
    <w:rsid w:val="788E5851"/>
    <w:rsid w:val="7AB02F22"/>
    <w:rsid w:val="7BE843F8"/>
    <w:rsid w:val="7C4A418F"/>
    <w:rsid w:val="7C9C2DAE"/>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4">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Plain Text"/>
    <w:basedOn w:val="1"/>
    <w:unhideWhenUsed/>
    <w:qFormat/>
    <w:uiPriority w:val="99"/>
    <w:rPr>
      <w:rFonts w:ascii="宋体" w:hAnsi="Courier New"/>
      <w:kern w:val="0"/>
      <w:sz w:val="20"/>
      <w:szCs w:val="20"/>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annotation reference"/>
    <w:qFormat/>
    <w:uiPriority w:val="99"/>
    <w:rPr>
      <w:sz w:val="21"/>
      <w:szCs w:val="21"/>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
    <w:name w:val="111"/>
    <w:basedOn w:val="12"/>
    <w:qFormat/>
    <w:uiPriority w:val="0"/>
    <w:pPr>
      <w:widowControl/>
      <w:spacing w:beforeAutospacing="0" w:afterAutospacing="0"/>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5"/>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2715</Words>
  <Characters>2973</Characters>
  <Lines>0</Lines>
  <Paragraphs>0</Paragraphs>
  <TotalTime>2</TotalTime>
  <ScaleCrop>false</ScaleCrop>
  <LinksUpToDate>false</LinksUpToDate>
  <CharactersWithSpaces>2989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2025-06-23T09:00:56Z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