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5E4E5">
      <w:pPr>
        <w:jc w:val="both"/>
        <w:rPr>
          <w:rFonts w:hint="eastAsia" w:ascii="Times New Roman" w:hAnsi="Times New Roman"/>
          <w:kern w:val="0"/>
          <w:sz w:val="28"/>
          <w:szCs w:val="28"/>
          <w:shd w:val="clear" w:color="auto" w:fill="FFFFFF"/>
        </w:rPr>
      </w:pPr>
    </w:p>
    <w:p w14:paraId="59618447">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3C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8DE56C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0B9C570">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江西耐乐铜业有限公司年产6万吨5G商用及制冷高精度铜管智造技改扩建工程项目安全验收评价报告</w:t>
            </w:r>
          </w:p>
        </w:tc>
      </w:tr>
      <w:tr w14:paraId="7C1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AE2E23C">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D51C70B">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5</w:t>
            </w:r>
            <w:r>
              <w:rPr>
                <w:rFonts w:hint="eastAsia" w:ascii="宋体" w:hAnsi="宋体" w:cs="宋体"/>
                <w:sz w:val="24"/>
              </w:rPr>
              <w:t>月</w:t>
            </w:r>
          </w:p>
        </w:tc>
      </w:tr>
      <w:tr w14:paraId="0A6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A71212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08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78F62E">
            <w:pPr>
              <w:jc w:val="center"/>
              <w:rPr>
                <w:rFonts w:ascii="宋体" w:hAnsi="宋体" w:cs="宋体"/>
                <w:sz w:val="24"/>
              </w:rPr>
            </w:pPr>
          </w:p>
        </w:tc>
        <w:tc>
          <w:tcPr>
            <w:tcW w:w="1237" w:type="dxa"/>
            <w:tcBorders>
              <w:tl2br w:val="nil"/>
              <w:tr2bl w:val="nil"/>
            </w:tcBorders>
            <w:shd w:val="clear" w:color="auto" w:fill="FFFFFF"/>
            <w:vAlign w:val="center"/>
          </w:tcPr>
          <w:p w14:paraId="7DF4D41E">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B76ABB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71448A8">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9DC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A157C8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AD910A2">
            <w:pPr>
              <w:jc w:val="center"/>
              <w:rPr>
                <w:rFonts w:ascii="宋体" w:hAnsi="宋体" w:cs="宋体"/>
                <w:sz w:val="24"/>
              </w:rPr>
            </w:pPr>
            <w:r>
              <w:rPr>
                <w:rFonts w:hint="eastAsia" w:ascii="宋体" w:hAnsi="宋体" w:eastAsia="宋体" w:cs="宋体"/>
                <w:color w:val="000000"/>
                <w:sz w:val="24"/>
                <w:szCs w:val="24"/>
                <w:lang w:val="en-US" w:eastAsia="zh-CN"/>
              </w:rPr>
              <w:t>谢雨飞</w:t>
            </w:r>
          </w:p>
        </w:tc>
        <w:tc>
          <w:tcPr>
            <w:tcW w:w="4803" w:type="dxa"/>
            <w:tcBorders>
              <w:tl2br w:val="nil"/>
              <w:tr2bl w:val="nil"/>
            </w:tcBorders>
            <w:shd w:val="clear" w:color="auto" w:fill="FFFFFF"/>
            <w:vAlign w:val="center"/>
          </w:tcPr>
          <w:p w14:paraId="42F3313A">
            <w:pPr>
              <w:spacing w:before="190" w:beforeLines="50" w:after="190" w:afterLines="50" w:line="400" w:lineRule="exact"/>
              <w:jc w:val="center"/>
              <w:rPr>
                <w:rFonts w:ascii="宋体" w:hAnsi="宋体" w:cs="宋体"/>
                <w:sz w:val="24"/>
              </w:rPr>
            </w:pPr>
            <w:r>
              <w:rPr>
                <w:rFonts w:hint="eastAsia" w:ascii="宋体" w:hAnsi="宋体" w:eastAsia="宋体" w:cs="宋体"/>
                <w:color w:val="000000"/>
                <w:sz w:val="24"/>
                <w:szCs w:val="24"/>
              </w:rPr>
              <w:t>CAWS350000230200227</w:t>
            </w:r>
          </w:p>
        </w:tc>
        <w:tc>
          <w:tcPr>
            <w:tcW w:w="2115" w:type="dxa"/>
            <w:tcBorders>
              <w:tl2br w:val="nil"/>
              <w:tr2bl w:val="nil"/>
            </w:tcBorders>
            <w:shd w:val="clear" w:color="auto" w:fill="FFFFFF"/>
            <w:vAlign w:val="center"/>
          </w:tcPr>
          <w:p w14:paraId="5954E4E9">
            <w:pPr>
              <w:spacing w:before="190" w:beforeLines="50" w:after="190" w:afterLines="50" w:line="400" w:lineRule="exact"/>
              <w:jc w:val="center"/>
              <w:rPr>
                <w:rFonts w:ascii="宋体" w:hAnsi="宋体" w:cs="宋体"/>
                <w:sz w:val="24"/>
              </w:rPr>
            </w:pPr>
            <w:r>
              <w:rPr>
                <w:rFonts w:hint="eastAsia" w:ascii="宋体" w:hAnsi="宋体" w:eastAsia="宋体" w:cs="宋体"/>
                <w:color w:val="000000"/>
                <w:sz w:val="24"/>
                <w:szCs w:val="24"/>
              </w:rPr>
              <w:t>043378</w:t>
            </w:r>
          </w:p>
        </w:tc>
      </w:tr>
      <w:tr w14:paraId="5A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8DF1A50">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C70241C">
            <w:pPr>
              <w:jc w:val="center"/>
              <w:rPr>
                <w:rFonts w:ascii="宋体" w:hAnsi="宋体" w:cs="宋体"/>
                <w:sz w:val="24"/>
              </w:rPr>
            </w:pPr>
            <w:r>
              <w:rPr>
                <w:rFonts w:hint="eastAsia" w:ascii="宋体" w:hAnsi="宋体" w:eastAsia="宋体" w:cs="宋体"/>
                <w:sz w:val="24"/>
                <w:szCs w:val="24"/>
              </w:rPr>
              <w:t>吴红玉</w:t>
            </w:r>
          </w:p>
        </w:tc>
        <w:tc>
          <w:tcPr>
            <w:tcW w:w="4803" w:type="dxa"/>
            <w:tcBorders>
              <w:tl2br w:val="nil"/>
              <w:tr2bl w:val="nil"/>
            </w:tcBorders>
            <w:shd w:val="clear" w:color="auto" w:fill="FFFFFF"/>
            <w:vAlign w:val="center"/>
          </w:tcPr>
          <w:p w14:paraId="1484D1DC">
            <w:pPr>
              <w:spacing w:before="190" w:beforeLines="50" w:after="190" w:afterLines="50" w:line="400" w:lineRule="exact"/>
              <w:jc w:val="center"/>
              <w:rPr>
                <w:rFonts w:ascii="宋体" w:hAnsi="宋体" w:cs="宋体"/>
                <w:sz w:val="24"/>
              </w:rPr>
            </w:pPr>
            <w:r>
              <w:rPr>
                <w:rFonts w:hint="eastAsia" w:ascii="宋体" w:hAnsi="宋体" w:eastAsia="宋体" w:cs="宋体"/>
                <w:sz w:val="24"/>
                <w:szCs w:val="24"/>
              </w:rPr>
              <w:t>1200000000300398</w:t>
            </w:r>
          </w:p>
        </w:tc>
        <w:tc>
          <w:tcPr>
            <w:tcW w:w="2115" w:type="dxa"/>
            <w:tcBorders>
              <w:tl2br w:val="nil"/>
              <w:tr2bl w:val="nil"/>
            </w:tcBorders>
            <w:shd w:val="clear" w:color="auto" w:fill="FFFFFF"/>
            <w:vAlign w:val="center"/>
          </w:tcPr>
          <w:p w14:paraId="782951DB">
            <w:pPr>
              <w:spacing w:before="190" w:beforeLines="50" w:after="190" w:afterLines="50" w:line="400" w:lineRule="exact"/>
              <w:jc w:val="center"/>
              <w:rPr>
                <w:rFonts w:ascii="宋体" w:hAnsi="宋体" w:cs="宋体"/>
                <w:sz w:val="24"/>
              </w:rPr>
            </w:pPr>
            <w:r>
              <w:rPr>
                <w:rFonts w:hint="eastAsia" w:ascii="宋体" w:hAnsi="宋体" w:eastAsia="宋体" w:cs="宋体"/>
                <w:sz w:val="24"/>
                <w:szCs w:val="24"/>
              </w:rPr>
              <w:t>025175</w:t>
            </w:r>
          </w:p>
        </w:tc>
      </w:tr>
      <w:tr w14:paraId="66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887BEAF">
            <w:pPr>
              <w:jc w:val="center"/>
              <w:rPr>
                <w:rFonts w:ascii="宋体" w:hAnsi="宋体" w:cs="宋体"/>
                <w:sz w:val="24"/>
              </w:rPr>
            </w:pPr>
          </w:p>
        </w:tc>
        <w:tc>
          <w:tcPr>
            <w:tcW w:w="1237" w:type="dxa"/>
            <w:tcBorders>
              <w:tl2br w:val="nil"/>
              <w:tr2bl w:val="nil"/>
            </w:tcBorders>
            <w:shd w:val="clear" w:color="auto" w:fill="FFFFFF"/>
            <w:vAlign w:val="center"/>
          </w:tcPr>
          <w:p w14:paraId="3AECF605">
            <w:pPr>
              <w:jc w:val="center"/>
              <w:rPr>
                <w:rFonts w:ascii="宋体" w:hAnsi="宋体" w:cs="宋体"/>
                <w:sz w:val="24"/>
              </w:rPr>
            </w:pPr>
            <w:r>
              <w:rPr>
                <w:rFonts w:hint="eastAsia" w:ascii="宋体" w:hAnsi="宋体" w:eastAsia="宋体" w:cs="宋体"/>
                <w:color w:val="000000"/>
                <w:sz w:val="24"/>
                <w:szCs w:val="24"/>
                <w:lang w:val="en-US" w:eastAsia="zh-CN"/>
              </w:rPr>
              <w:t>张志辉</w:t>
            </w:r>
          </w:p>
        </w:tc>
        <w:tc>
          <w:tcPr>
            <w:tcW w:w="4803" w:type="dxa"/>
            <w:tcBorders>
              <w:tl2br w:val="nil"/>
              <w:tr2bl w:val="nil"/>
            </w:tcBorders>
            <w:shd w:val="clear" w:color="auto" w:fill="FFFFFF"/>
            <w:vAlign w:val="center"/>
          </w:tcPr>
          <w:p w14:paraId="3F218D8D">
            <w:pPr>
              <w:spacing w:before="190" w:beforeLines="50" w:after="190" w:afterLines="50" w:line="400" w:lineRule="exact"/>
              <w:jc w:val="center"/>
              <w:rPr>
                <w:rFonts w:ascii="宋体" w:hAnsi="宋体" w:cs="宋体"/>
                <w:sz w:val="24"/>
              </w:rPr>
            </w:pPr>
            <w:r>
              <w:rPr>
                <w:rFonts w:hint="eastAsia" w:ascii="宋体" w:hAnsi="宋体" w:eastAsia="宋体" w:cs="宋体"/>
                <w:color w:val="000000"/>
                <w:sz w:val="24"/>
                <w:szCs w:val="24"/>
              </w:rPr>
              <w:t>S011011000110193000138</w:t>
            </w:r>
          </w:p>
        </w:tc>
        <w:tc>
          <w:tcPr>
            <w:tcW w:w="2115" w:type="dxa"/>
            <w:tcBorders>
              <w:tl2br w:val="nil"/>
              <w:tr2bl w:val="nil"/>
            </w:tcBorders>
            <w:shd w:val="clear" w:color="auto" w:fill="FFFFFF"/>
            <w:vAlign w:val="center"/>
          </w:tcPr>
          <w:p w14:paraId="0F0D8BA0">
            <w:pPr>
              <w:spacing w:before="190" w:beforeLines="50" w:after="190" w:afterLines="50" w:line="400" w:lineRule="exact"/>
              <w:jc w:val="center"/>
              <w:rPr>
                <w:rFonts w:ascii="宋体" w:hAnsi="宋体" w:cs="宋体"/>
                <w:sz w:val="24"/>
              </w:rPr>
            </w:pPr>
            <w:r>
              <w:rPr>
                <w:rFonts w:hint="eastAsia" w:ascii="宋体" w:hAnsi="宋体" w:eastAsia="宋体" w:cs="宋体"/>
                <w:color w:val="000000"/>
                <w:sz w:val="24"/>
                <w:szCs w:val="24"/>
              </w:rPr>
              <w:t>038124</w:t>
            </w:r>
          </w:p>
        </w:tc>
      </w:tr>
      <w:tr w14:paraId="1D6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BC1C2A7">
            <w:pPr>
              <w:jc w:val="center"/>
              <w:rPr>
                <w:rFonts w:ascii="宋体" w:hAnsi="宋体" w:cs="宋体"/>
                <w:sz w:val="24"/>
              </w:rPr>
            </w:pPr>
          </w:p>
        </w:tc>
        <w:tc>
          <w:tcPr>
            <w:tcW w:w="1237" w:type="dxa"/>
            <w:tcBorders>
              <w:tl2br w:val="nil"/>
              <w:tr2bl w:val="nil"/>
            </w:tcBorders>
            <w:shd w:val="clear" w:color="auto" w:fill="FFFFFF"/>
            <w:vAlign w:val="center"/>
          </w:tcPr>
          <w:p w14:paraId="49EA8F9A">
            <w:pPr>
              <w:spacing w:before="190" w:beforeLines="50" w:after="190" w:afterLines="50" w:line="360" w:lineRule="exact"/>
              <w:jc w:val="center"/>
              <w:rPr>
                <w:rFonts w:ascii="宋体" w:hAnsi="宋体" w:cs="宋体"/>
                <w:sz w:val="24"/>
              </w:rPr>
            </w:pPr>
            <w:r>
              <w:rPr>
                <w:rFonts w:hint="eastAsia" w:ascii="宋体" w:hAnsi="宋体" w:eastAsia="宋体" w:cs="宋体"/>
                <w:color w:val="000000"/>
                <w:sz w:val="24"/>
                <w:szCs w:val="24"/>
                <w:lang w:val="en-US" w:eastAsia="zh-CN"/>
              </w:rPr>
              <w:t>王静</w:t>
            </w:r>
          </w:p>
        </w:tc>
        <w:tc>
          <w:tcPr>
            <w:tcW w:w="4803" w:type="dxa"/>
            <w:tcBorders>
              <w:tl2br w:val="nil"/>
              <w:tr2bl w:val="nil"/>
            </w:tcBorders>
            <w:shd w:val="clear" w:color="auto" w:fill="FFFFFF"/>
            <w:vAlign w:val="center"/>
          </w:tcPr>
          <w:p w14:paraId="11639DF4">
            <w:pPr>
              <w:spacing w:before="190" w:beforeLines="50" w:after="190" w:afterLines="50" w:line="360" w:lineRule="exact"/>
              <w:jc w:val="center"/>
              <w:rPr>
                <w:rFonts w:ascii="宋体" w:hAnsi="宋体" w:cs="宋体"/>
                <w:sz w:val="24"/>
              </w:rPr>
            </w:pPr>
            <w:r>
              <w:rPr>
                <w:rFonts w:hint="eastAsia" w:ascii="宋体" w:hAnsi="宋体" w:eastAsia="宋体" w:cs="宋体"/>
                <w:color w:val="000000"/>
                <w:sz w:val="24"/>
                <w:szCs w:val="24"/>
              </w:rPr>
              <w:t>1800000000300838</w:t>
            </w:r>
          </w:p>
        </w:tc>
        <w:tc>
          <w:tcPr>
            <w:tcW w:w="2115" w:type="dxa"/>
            <w:tcBorders>
              <w:tl2br w:val="nil"/>
              <w:tr2bl w:val="nil"/>
            </w:tcBorders>
            <w:shd w:val="clear" w:color="auto" w:fill="FFFFFF"/>
            <w:vAlign w:val="center"/>
          </w:tcPr>
          <w:p w14:paraId="40BC3936">
            <w:pPr>
              <w:spacing w:before="190" w:beforeLines="50" w:after="190" w:afterLines="50" w:line="360" w:lineRule="exact"/>
              <w:jc w:val="center"/>
              <w:rPr>
                <w:rFonts w:ascii="宋体" w:hAnsi="宋体" w:cs="宋体"/>
                <w:sz w:val="24"/>
              </w:rPr>
            </w:pPr>
            <w:r>
              <w:rPr>
                <w:rFonts w:hint="eastAsia" w:ascii="宋体" w:hAnsi="宋体" w:eastAsia="宋体" w:cs="宋体"/>
                <w:color w:val="000000"/>
                <w:sz w:val="24"/>
                <w:szCs w:val="24"/>
              </w:rPr>
              <w:t>034276</w:t>
            </w:r>
          </w:p>
        </w:tc>
      </w:tr>
      <w:tr w14:paraId="160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906CDEE">
            <w:pPr>
              <w:jc w:val="center"/>
              <w:rPr>
                <w:rFonts w:ascii="宋体" w:hAnsi="宋体" w:cs="宋体"/>
                <w:sz w:val="24"/>
              </w:rPr>
            </w:pPr>
          </w:p>
        </w:tc>
        <w:tc>
          <w:tcPr>
            <w:tcW w:w="1237" w:type="dxa"/>
            <w:tcBorders>
              <w:tl2br w:val="nil"/>
              <w:tr2bl w:val="nil"/>
            </w:tcBorders>
            <w:shd w:val="clear" w:color="auto" w:fill="FFFFFF"/>
            <w:vAlign w:val="center"/>
          </w:tcPr>
          <w:p w14:paraId="71F8DBD5">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乔贯德</w:t>
            </w:r>
          </w:p>
        </w:tc>
        <w:tc>
          <w:tcPr>
            <w:tcW w:w="4803" w:type="dxa"/>
            <w:tcBorders>
              <w:tl2br w:val="nil"/>
              <w:tr2bl w:val="nil"/>
            </w:tcBorders>
            <w:shd w:val="clear" w:color="auto" w:fill="FFFFFF"/>
            <w:vAlign w:val="center"/>
          </w:tcPr>
          <w:p w14:paraId="331FAC55">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1700000000300087</w:t>
            </w:r>
          </w:p>
        </w:tc>
        <w:tc>
          <w:tcPr>
            <w:tcW w:w="2115" w:type="dxa"/>
            <w:tcBorders>
              <w:tl2br w:val="nil"/>
              <w:tr2bl w:val="nil"/>
            </w:tcBorders>
            <w:shd w:val="clear" w:color="auto" w:fill="FFFFFF"/>
            <w:vAlign w:val="center"/>
          </w:tcPr>
          <w:p w14:paraId="23566468">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030797</w:t>
            </w:r>
          </w:p>
        </w:tc>
      </w:tr>
      <w:tr w14:paraId="543F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B802E8">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0A57008B">
            <w:pPr>
              <w:jc w:val="center"/>
              <w:rPr>
                <w:rFonts w:ascii="宋体" w:hAnsi="宋体" w:cs="宋体"/>
                <w:sz w:val="24"/>
              </w:rPr>
            </w:pPr>
            <w:r>
              <w:rPr>
                <w:rFonts w:hint="eastAsia" w:ascii="宋体" w:hAnsi="宋体" w:cs="宋体"/>
                <w:sz w:val="24"/>
              </w:rPr>
              <w:t>/</w:t>
            </w:r>
          </w:p>
        </w:tc>
      </w:tr>
      <w:tr w14:paraId="468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41177EC">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D05DF95">
            <w:pPr>
              <w:widowControl/>
              <w:spacing w:after="150"/>
              <w:jc w:val="center"/>
              <w:rPr>
                <w:rFonts w:hint="eastAsia" w:ascii="Times New Roman" w:hAnsi="Times New Roman" w:eastAsia="宋体"/>
                <w:sz w:val="24"/>
                <w:lang w:val="en-US" w:eastAsia="zh-CN"/>
              </w:rPr>
            </w:pPr>
            <w:r>
              <w:rPr>
                <w:rFonts w:hint="eastAsia" w:ascii="Times New Roman" w:hAnsi="Times New Roman"/>
                <w:sz w:val="24"/>
              </w:rPr>
              <w:t>谢雨飞</w:t>
            </w:r>
            <w:r>
              <w:rPr>
                <w:rFonts w:hint="eastAsia"/>
                <w:color w:val="000000"/>
                <w:sz w:val="24"/>
              </w:rPr>
              <w:t>、</w:t>
            </w:r>
            <w:r>
              <w:rPr>
                <w:rFonts w:hint="eastAsia" w:ascii="Times New Roman" w:hAnsi="Times New Roman"/>
                <w:sz w:val="24"/>
              </w:rPr>
              <w:t>乔贯德</w:t>
            </w:r>
            <w:r>
              <w:rPr>
                <w:rFonts w:hint="eastAsia"/>
                <w:sz w:val="24"/>
              </w:rPr>
              <w:t>202</w:t>
            </w:r>
            <w:r>
              <w:rPr>
                <w:rFonts w:hint="eastAsia"/>
                <w:sz w:val="24"/>
                <w:lang w:val="en-US" w:eastAsia="zh-CN"/>
              </w:rPr>
              <w:t>5</w:t>
            </w:r>
            <w:r>
              <w:rPr>
                <w:rFonts w:hint="eastAsia"/>
                <w:sz w:val="24"/>
              </w:rPr>
              <w:t>.</w:t>
            </w:r>
            <w:r>
              <w:rPr>
                <w:rFonts w:hint="eastAsia"/>
                <w:sz w:val="24"/>
                <w:lang w:val="en-US" w:eastAsia="zh-CN"/>
              </w:rPr>
              <w:t>3</w:t>
            </w:r>
            <w:r>
              <w:rPr>
                <w:rFonts w:hint="eastAsia"/>
                <w:sz w:val="24"/>
              </w:rPr>
              <w:t>.</w:t>
            </w:r>
            <w:r>
              <w:rPr>
                <w:sz w:val="24"/>
              </w:rPr>
              <w:t>1</w:t>
            </w:r>
            <w:r>
              <w:rPr>
                <w:rFonts w:hint="eastAsia"/>
                <w:sz w:val="24"/>
                <w:lang w:val="en-US" w:eastAsia="zh-CN"/>
              </w:rPr>
              <w:t>3</w:t>
            </w:r>
          </w:p>
        </w:tc>
      </w:tr>
      <w:tr w14:paraId="3F1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73143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5FE7179">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w:t>
            </w:r>
            <w:r>
              <w:rPr>
                <w:rFonts w:hint="eastAsia"/>
                <w:sz w:val="24"/>
                <w:lang w:val="en-US" w:eastAsia="zh-CN"/>
              </w:rPr>
              <w:t>5</w:t>
            </w:r>
            <w:r>
              <w:rPr>
                <w:rFonts w:hint="eastAsia"/>
                <w:sz w:val="24"/>
              </w:rPr>
              <w:t>.</w:t>
            </w:r>
            <w:r>
              <w:rPr>
                <w:rFonts w:hint="eastAsia"/>
                <w:sz w:val="24"/>
                <w:lang w:val="en-US" w:eastAsia="zh-CN"/>
              </w:rPr>
              <w:t>5</w:t>
            </w:r>
            <w:r>
              <w:rPr>
                <w:rFonts w:hint="eastAsia"/>
                <w:sz w:val="24"/>
              </w:rPr>
              <w:t>.</w:t>
            </w:r>
            <w:r>
              <w:rPr>
                <w:rFonts w:hint="eastAsia"/>
                <w:sz w:val="24"/>
                <w:lang w:val="en-US" w:eastAsia="zh-CN"/>
              </w:rPr>
              <w:t>10</w:t>
            </w:r>
          </w:p>
        </w:tc>
      </w:tr>
      <w:tr w14:paraId="679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2373A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5BF1F49C">
            <w:pPr>
              <w:ind w:firstLine="560"/>
              <w:rPr>
                <w:rFonts w:hint="eastAsia"/>
                <w:snapToGrid w:val="0"/>
              </w:rPr>
            </w:pPr>
            <w:r>
              <w:rPr>
                <w:rFonts w:hint="eastAsia"/>
                <w:snapToGrid w:val="0"/>
              </w:rPr>
              <w:t xml:space="preserve">江西耐乐铜业有限公司成立于2003年12月5日，登记地址为江西省鹰潭市余江县五湖开发区，注册资本20000万元整，法定代表人罗奇梁，经营范围包括一般项目：电子元器件制造，有色金属合金制造，有色金属合金销售，有色金属压延加工，高性能有色金属及合金材料销售，通讯设备销售，通信设备制造，五金产品制造，技术服务、技术开发、技术咨询、技术交流、技术转让、技术推广，新材料技术研发，货物进出口，金属材料制造，计算机软硬件及外围设备制造，电子专用材料销售（除许可业务外，可自主依法经营法律法规非禁止或限制的项目） </w:t>
            </w:r>
          </w:p>
          <w:p w14:paraId="57CF5367">
            <w:pPr>
              <w:ind w:firstLine="560"/>
              <w:rPr>
                <w:rFonts w:hint="eastAsia"/>
                <w:snapToGrid w:val="0"/>
              </w:rPr>
            </w:pPr>
            <w:r>
              <w:rPr>
                <w:rFonts w:hint="eastAsia"/>
                <w:snapToGrid w:val="0"/>
              </w:rPr>
              <w:t>建设规模和内容：在厂区北侧空地新建2#厂房，购置熔化炉、铸造炉、轧机、双连拉、成型机、退火炉等设备，建成后年产无缝铜管6万吨。</w:t>
            </w:r>
          </w:p>
        </w:tc>
      </w:tr>
      <w:tr w14:paraId="7BB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26B5D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2020D888">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5G商用铜管采用江西耐乐铜业公司摸索的超薄管生产工艺。内螺纹管采用行星球模旋压成型技术，属无缝内螺纹管成熟工艺，中间退火为先进的连续感应退火工艺。5G商用铜管工艺流程相对于内螺纹管工艺流程仅少了在线退火和内螺纹成型，其余工序一致。</w:t>
            </w:r>
          </w:p>
          <w:p w14:paraId="05D49639">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5G商用铜管是热管用无氧铜管中的一种。江西耐乐铜业有限公司从2016年起承担了鹰潭市科技局下发的鹰潭市重点研发计划《热管用无氧铜管关键技术研发及产业化》，并于2019年6月，经过鹰潭市科技局会议验收，取得科技计划项目验收证书。2019年8月江西科学技术厅《关于下达2019年江西省03专项及5G有关项目的通知》，通知中明确了江西耐乐铜业有限公司承担项目《5G手机散热模组热管用无氧铜管的研发和开发》。</w:t>
            </w:r>
          </w:p>
          <w:p w14:paraId="784A65B0">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该项目2#厂房的生产工艺流程可分电炉熔化、水平连铸、铣面、轧制、双联拉、圆盘拉伸、在线退火、内螺纹成型、光亮退火、水平缠绕、检验、包装出厂等，具体内容如下。</w:t>
            </w:r>
          </w:p>
          <w:p w14:paraId="19839771">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（1）电炉熔化：将纯度为99.99%的阴极铜板以及少许工艺回料放入熔化炉内加热至1175℃，熔化为铜水。加热方式为电加热，熔化时表面覆盖厚度约为200mm的木炭，以防止熔化铜飞溅和氧化。</w:t>
            </w:r>
          </w:p>
          <w:p w14:paraId="7CE99527">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2）水平连铸：通过熔化炉的倾倒方式，液态铜通过导流槽导入铸造机，通过水平连铸工艺将液态铜铸造成空心管铜坯。水平连铸生产工艺最大的特点是可直接由水平连铸机组生产出大规格空心管坯，经铣面后由行星轧管机轧制出合格的管坯。</w:t>
            </w:r>
          </w:p>
          <w:p w14:paraId="08561E75">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（3）铣面：采用铣面机将铜坯外表面的缺陷和氧化膜铣掉，从而减少了铜管表面缺陷。</w:t>
            </w:r>
          </w:p>
          <w:p w14:paraId="560CDAA4">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4）轧制：经过铣面的铜坯通过90%变形量的行星轧制机进行轧制，目的是使铜坯变小变薄，规格为订单需求所设置，轧制过程中使用氮气作为保护气体。由于行星轧制工艺具有变形迅速、加工率大等特点，铸造晶粒被彻底破碎后，轧件在变形区内的温度迅速升高至铜的再结晶温度以上，轧件由铸造状组织变为完全再结晶组织，晶粒均匀细致。轧制工序需定期更换轧管及使用乳化液。</w:t>
            </w:r>
          </w:p>
          <w:p w14:paraId="3C424DD2">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5）双联拉：使用双连拉伸技术，使铜坯变小变薄，规格为订单需求所设置。同时，使经过晶粒重整的、近似软态的轧管坯通过预拉伸后表面变硬化，下道工序进行圆盘拉伸时不产生磕碰伤和擦伤，大大减少冷加工缺陷，显著提高了铜管产品质量，提高盘拉效率。双联拉过程中由于温度较高，需用自来水冷却铜坯。</w:t>
            </w:r>
          </w:p>
          <w:p w14:paraId="3716B45A">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6）圆盘拉伸：拉伸管进入盘拉机后进行高速拉伸，通过高精度模具，同时使用减震模具箱，拉制出符合用户要求的高精度光面铜管，规格为订单需求所设置。由于使用减震模具箱，可将盘拉产生的震动减少到最小，从而使盘拉管的壁厚均匀度大大提高。</w:t>
            </w:r>
          </w:p>
          <w:p w14:paraId="6705CAD9">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7）在线退火：使用感应线圈加热铜管的方法，以达到软化退火、消除冷加工产生内应力的目的。大长度不间断在线退火，保证了退火后铜管晶粒细小均匀。在线退火机运行过程中由于温度较高，加热后需用纯水冷却铜坯。</w:t>
            </w:r>
          </w:p>
          <w:p w14:paraId="2FAE2195">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8）内螺纹成型：软态光面铜管通过内螺纹成型机，经过内螺纹成型组合模具，采用超高速旋压技术在铜管内表面形成按照一定规则排列的的螺纹状沟槽和凸起，内螺纹管规格为订单需求所设置。相比相同壁厚和外径的光面铜管，内螺纹铜管的内表面面积增大65%～100%，因此热交换效率提升了2～3倍。</w:t>
            </w:r>
          </w:p>
          <w:p w14:paraId="35D8DB77">
            <w:pPr>
              <w:tabs>
                <w:tab w:val="left" w:pos="1265"/>
                <w:tab w:val="left" w:pos="1380"/>
              </w:tabs>
              <w:snapToGrid w:val="0"/>
              <w:spacing w:line="360" w:lineRule="auto"/>
              <w:ind w:firstLine="417" w:firstLineChars="199"/>
              <w:jc w:val="left"/>
              <w:rPr>
                <w:rFonts w:hint="eastAsia" w:ascii="宋体" w:hAnsi="宋体" w:cs="宋体"/>
                <w:snapToGrid w:val="0"/>
                <w:kern w:val="0"/>
                <w:szCs w:val="21"/>
              </w:rPr>
            </w:pPr>
            <w:r>
              <w:rPr>
                <w:rFonts w:hint="eastAsia" w:ascii="宋体" w:hAnsi="宋体" w:cs="宋体"/>
                <w:snapToGrid w:val="0"/>
                <w:kern w:val="0"/>
                <w:szCs w:val="21"/>
              </w:rPr>
              <w:t>（9）光亮退火：使用光亮退火炉（电加热），将内螺纹铜管加热，进行再结晶和消除因冷加工而产生的内应力，形成能够适应用户加工的软态管。在退火过程中采用氮气连续吹扫技术，有效防止铜管内壁的氧化，并达到了较高的清洁度。</w:t>
            </w:r>
          </w:p>
          <w:p w14:paraId="7A7BF95C">
            <w:pPr>
              <w:tabs>
                <w:tab w:val="left" w:pos="1265"/>
                <w:tab w:val="left" w:pos="1380"/>
              </w:tabs>
              <w:snapToGrid w:val="0"/>
              <w:spacing w:line="360" w:lineRule="auto"/>
              <w:ind w:firstLine="417" w:firstLineChars="199"/>
              <w:jc w:val="left"/>
              <w:rPr>
                <w:rFonts w:ascii="宋体" w:hAnsi="宋体" w:cs="宋体"/>
                <w:snapToGrid w:val="0"/>
                <w:kern w:val="0"/>
                <w:szCs w:val="21"/>
              </w:rPr>
            </w:pPr>
            <w:r>
              <w:rPr>
                <w:rFonts w:hint="eastAsia" w:ascii="宋体" w:hAnsi="宋体" w:cs="宋体"/>
                <w:snapToGrid w:val="0"/>
                <w:kern w:val="0"/>
                <w:szCs w:val="21"/>
              </w:rPr>
              <w:t>（10）水平缠绕、检验、包装出厂：根据客户的要求，由双收卷精整水平缠绕机将经旋压成型的内螺纹铜管进行精整，并缠绕成紧密排列的小盘管。在水平缠绕的同时，由涡流探伤设备对铜管进行检测，合格品即可包装出厂，不合格品返回熔化炉进行熔化再生产。</w:t>
            </w:r>
          </w:p>
          <w:p w14:paraId="642F14C6">
            <w:pPr>
              <w:tabs>
                <w:tab w:val="left" w:pos="1265"/>
                <w:tab w:val="left" w:pos="1380"/>
              </w:tabs>
              <w:snapToGrid w:val="0"/>
              <w:spacing w:line="360" w:lineRule="auto"/>
              <w:jc w:val="left"/>
              <w:rPr>
                <w:rFonts w:ascii="宋体" w:hAnsi="宋体" w:cs="宋体"/>
                <w:snapToGrid w:val="0"/>
                <w:kern w:val="0"/>
                <w:szCs w:val="21"/>
              </w:rPr>
            </w:pPr>
          </w:p>
        </w:tc>
      </w:tr>
      <w:tr w14:paraId="00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C049D4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B514EA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7F63244">
      <w:r>
        <w:rPr>
          <w:rFonts w:hint="eastAsia"/>
        </w:rPr>
        <w:br w:type="page"/>
      </w:r>
    </w:p>
    <w:p w14:paraId="5E07ABB9">
      <w:pPr>
        <w:rPr>
          <w:rFonts w:hint="eastAsia" w:eastAsia="宋体"/>
          <w:lang w:eastAsia="zh-CN"/>
        </w:rPr>
      </w:pPr>
    </w:p>
    <w:p w14:paraId="0E5298BF"/>
    <w:p w14:paraId="4223652F"/>
    <w:p w14:paraId="2A512B2C"/>
    <w:p w14:paraId="550F72D5">
      <w:pPr>
        <w:rPr>
          <w:rFonts w:hint="eastAsia" w:eastAsia="宋体"/>
          <w:lang w:eastAsia="zh-CN"/>
        </w:rPr>
      </w:pPr>
      <w:r>
        <w:rPr>
          <w:rFonts w:hint="eastAsia" w:eastAsia="宋体"/>
          <w:lang w:eastAsia="zh-CN"/>
        </w:rPr>
        <w:drawing>
          <wp:inline distT="0" distB="0" distL="114300" distR="114300">
            <wp:extent cx="5262880" cy="7019925"/>
            <wp:effectExtent l="0" t="0" r="13970" b="952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2880" cy="7019925"/>
                    </a:xfrm>
                    <a:prstGeom prst="rect">
                      <a:avLst/>
                    </a:prstGeom>
                  </pic:spPr>
                </pic:pic>
              </a:graphicData>
            </a:graphic>
          </wp:inline>
        </w:drawing>
      </w:r>
      <w:r>
        <w:rPr>
          <w:rFonts w:hint="eastAsia" w:eastAsia="宋体"/>
          <w:lang w:eastAsia="zh-CN"/>
        </w:rPr>
        <w:drawing>
          <wp:inline distT="0" distB="0" distL="114300" distR="114300">
            <wp:extent cx="5262880" cy="7019925"/>
            <wp:effectExtent l="0" t="0" r="13970" b="952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2880" cy="7019925"/>
                    </a:xfrm>
                    <a:prstGeom prst="rect">
                      <a:avLst/>
                    </a:prstGeom>
                  </pic:spPr>
                </pic:pic>
              </a:graphicData>
            </a:graphic>
          </wp:inline>
        </w:drawing>
      </w:r>
      <w:r>
        <w:rPr>
          <w:rFonts w:hint="eastAsia" w:eastAsia="宋体"/>
          <w:lang w:eastAsia="zh-CN"/>
        </w:rPr>
        <w:drawing>
          <wp:inline distT="0" distB="0" distL="114300" distR="114300">
            <wp:extent cx="5262880" cy="7019925"/>
            <wp:effectExtent l="0" t="0" r="13970" b="952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6"/>
                    <a:stretch>
                      <a:fillRect/>
                    </a:stretch>
                  </pic:blipFill>
                  <pic:spPr>
                    <a:xfrm>
                      <a:off x="0" y="0"/>
                      <a:ext cx="5262880" cy="7019925"/>
                    </a:xfrm>
                    <a:prstGeom prst="rect">
                      <a:avLst/>
                    </a:prstGeom>
                  </pic:spPr>
                </pic:pic>
              </a:graphicData>
            </a:graphic>
          </wp:inline>
        </w:drawing>
      </w:r>
    </w:p>
    <w:p w14:paraId="44D6F4B2"/>
    <w:p w14:paraId="7D6C13BF"/>
    <w:p w14:paraId="22AF1EED"/>
    <w:p w14:paraId="3601A34F"/>
    <w:p w14:paraId="795F8353"/>
    <w:p w14:paraId="6004ECD9"/>
    <w:p w14:paraId="4521D7C1"/>
    <w:p w14:paraId="1FF13339">
      <w:pPr>
        <w:jc w:val="both"/>
      </w:pPr>
    </w:p>
    <w:p w14:paraId="32057267">
      <w:pPr>
        <w:jc w:val="both"/>
        <w:rPr>
          <w:rFonts w:hint="eastAsia" w:eastAsia="宋体"/>
          <w:lang w:eastAsia="zh-CN"/>
        </w:rPr>
      </w:pPr>
      <w:r>
        <w:rPr>
          <w:rFonts w:hint="eastAsia" w:eastAsia="宋体"/>
          <w:lang w:eastAsia="zh-CN"/>
        </w:rPr>
        <w:drawing>
          <wp:inline distT="0" distB="0" distL="114300" distR="114300">
            <wp:extent cx="5262880" cy="7019925"/>
            <wp:effectExtent l="0" t="0" r="13970" b="9525"/>
            <wp:docPr id="6" name="图片 6" descr="c760c1c50c806b541c22c766389d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760c1c50c806b541c22c766389dbfe"/>
                    <pic:cNvPicPr>
                      <a:picLocks noChangeAspect="1"/>
                    </pic:cNvPicPr>
                  </pic:nvPicPr>
                  <pic:blipFill>
                    <a:blip r:embed="rId7"/>
                    <a:stretch>
                      <a:fillRect/>
                    </a:stretch>
                  </pic:blipFill>
                  <pic:spPr>
                    <a:xfrm>
                      <a:off x="0" y="0"/>
                      <a:ext cx="5262880" cy="7019925"/>
                    </a:xfrm>
                    <a:prstGeom prst="rect">
                      <a:avLst/>
                    </a:prstGeom>
                  </pic:spPr>
                </pic:pic>
              </a:graphicData>
            </a:graphic>
          </wp:inline>
        </w:drawing>
      </w:r>
    </w:p>
    <w:p w14:paraId="71131254">
      <w:pPr>
        <w:jc w:val="both"/>
      </w:pPr>
    </w:p>
    <w:p w14:paraId="50678230">
      <w:pPr>
        <w:jc w:val="both"/>
      </w:pPr>
    </w:p>
    <w:p w14:paraId="00CEC2E3">
      <w:pPr>
        <w:jc w:val="both"/>
      </w:pPr>
    </w:p>
    <w:p w14:paraId="1DD3FCE3">
      <w:pPr>
        <w:jc w:val="both"/>
      </w:pPr>
    </w:p>
    <w:p w14:paraId="2B59A32B">
      <w:pPr>
        <w:jc w:val="both"/>
      </w:pPr>
    </w:p>
    <w:p w14:paraId="256DE4E7">
      <w:pPr>
        <w:jc w:val="both"/>
      </w:pPr>
    </w:p>
    <w:p w14:paraId="5A2C25E3">
      <w:pPr>
        <w:jc w:val="both"/>
      </w:pPr>
    </w:p>
    <w:p w14:paraId="533D82FB">
      <w:pPr>
        <w:jc w:val="both"/>
      </w:pPr>
    </w:p>
    <w:p w14:paraId="3E01CFF2">
      <w:pPr>
        <w:jc w:val="both"/>
        <w:rPr>
          <w:rFonts w:hint="eastAsia" w:eastAsia="宋体"/>
          <w:lang w:eastAsia="zh-CN"/>
        </w:rPr>
      </w:pPr>
      <w:r>
        <w:rPr>
          <w:rFonts w:hint="eastAsia" w:eastAsia="宋体"/>
          <w:lang w:eastAsia="zh-CN"/>
        </w:rPr>
        <w:drawing>
          <wp:inline distT="0" distB="0" distL="114300" distR="114300">
            <wp:extent cx="5267960" cy="7453630"/>
            <wp:effectExtent l="0" t="0" r="8890" b="13970"/>
            <wp:docPr id="5" name="图片 5" descr="DOC072325-072320250002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72325-07232025000217_01"/>
                    <pic:cNvPicPr>
                      <a:picLocks noChangeAspect="1"/>
                    </pic:cNvPicPr>
                  </pic:nvPicPr>
                  <pic:blipFill>
                    <a:blip r:embed="rId8"/>
                    <a:stretch>
                      <a:fillRect/>
                    </a:stretch>
                  </pic:blipFill>
                  <pic:spPr>
                    <a:xfrm>
                      <a:off x="0" y="0"/>
                      <a:ext cx="5267960" cy="7453630"/>
                    </a:xfrm>
                    <a:prstGeom prst="rect">
                      <a:avLst/>
                    </a:prstGeom>
                  </pic:spPr>
                </pic:pic>
              </a:graphicData>
            </a:graphic>
          </wp:inline>
        </w:drawing>
      </w:r>
      <w:r>
        <w:rPr>
          <w:rFonts w:hint="eastAsia" w:eastAsia="宋体"/>
          <w:lang w:eastAsia="zh-CN"/>
        </w:rPr>
        <w:drawing>
          <wp:inline distT="0" distB="0" distL="114300" distR="114300">
            <wp:extent cx="5267960" cy="7453630"/>
            <wp:effectExtent l="0" t="0" r="8890" b="13970"/>
            <wp:docPr id="4" name="图片 4" descr="DOC072325-072320250002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72325-07232025000217_02"/>
                    <pic:cNvPicPr>
                      <a:picLocks noChangeAspect="1"/>
                    </pic:cNvPicPr>
                  </pic:nvPicPr>
                  <pic:blipFill>
                    <a:blip r:embed="rId9"/>
                    <a:stretch>
                      <a:fillRect/>
                    </a:stretch>
                  </pic:blipFill>
                  <pic:spPr>
                    <a:xfrm>
                      <a:off x="0" y="0"/>
                      <a:ext cx="5267960" cy="7453630"/>
                    </a:xfrm>
                    <a:prstGeom prst="rect">
                      <a:avLst/>
                    </a:prstGeom>
                  </pic:spPr>
                </pic:pic>
              </a:graphicData>
            </a:graphic>
          </wp:inline>
        </w:drawing>
      </w:r>
      <w:bookmarkStart w:id="0" w:name="_GoBack"/>
      <w:bookmarkEnd w:id="0"/>
      <w:r>
        <w:drawing>
          <wp:inline distT="0" distB="0" distL="114300" distR="114300">
            <wp:extent cx="5271770" cy="7450455"/>
            <wp:effectExtent l="0" t="0" r="5080"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71770" cy="7450455"/>
                    </a:xfrm>
                    <a:prstGeom prst="rect">
                      <a:avLst/>
                    </a:prstGeom>
                    <a:noFill/>
                    <a:ln>
                      <a:noFill/>
                    </a:ln>
                  </pic:spPr>
                </pic:pic>
              </a:graphicData>
            </a:graphic>
          </wp:inline>
        </w:drawing>
      </w:r>
    </w:p>
    <w:p w14:paraId="3CC18563">
      <w:pPr>
        <w:rPr>
          <w:rFonts w:hint="eastAsia" w:eastAsia="宋体"/>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BF33AE"/>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ED3F48"/>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211925"/>
    <w:rsid w:val="35524794"/>
    <w:rsid w:val="36577381"/>
    <w:rsid w:val="366115C7"/>
    <w:rsid w:val="368F242B"/>
    <w:rsid w:val="36E75766"/>
    <w:rsid w:val="37285AB1"/>
    <w:rsid w:val="375C6F30"/>
    <w:rsid w:val="3781684D"/>
    <w:rsid w:val="3823766B"/>
    <w:rsid w:val="396748BA"/>
    <w:rsid w:val="39AC13AD"/>
    <w:rsid w:val="3A751F6D"/>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B01626"/>
    <w:rsid w:val="4FF32FA8"/>
    <w:rsid w:val="50EA0B03"/>
    <w:rsid w:val="512A57AB"/>
    <w:rsid w:val="515A3854"/>
    <w:rsid w:val="5276471A"/>
    <w:rsid w:val="52B20F97"/>
    <w:rsid w:val="52CC47C0"/>
    <w:rsid w:val="52E07D49"/>
    <w:rsid w:val="5374510A"/>
    <w:rsid w:val="53F5005F"/>
    <w:rsid w:val="550C37A2"/>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4D1858"/>
    <w:rsid w:val="78725E9B"/>
    <w:rsid w:val="7877129B"/>
    <w:rsid w:val="787B0173"/>
    <w:rsid w:val="79302291"/>
    <w:rsid w:val="797D7F1B"/>
    <w:rsid w:val="79F44E86"/>
    <w:rsid w:val="79FE7AE0"/>
    <w:rsid w:val="7A083C89"/>
    <w:rsid w:val="7AA15E8B"/>
    <w:rsid w:val="7B424553"/>
    <w:rsid w:val="7BB96559"/>
    <w:rsid w:val="7BF25D18"/>
    <w:rsid w:val="7C304A31"/>
    <w:rsid w:val="7C6520EB"/>
    <w:rsid w:val="7C85225C"/>
    <w:rsid w:val="7D1943FF"/>
    <w:rsid w:val="7D7347EF"/>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unhideWhenUsed/>
    <w:qFormat/>
    <w:uiPriority w:val="99"/>
    <w:pPr>
      <w:spacing w:after="120"/>
      <w:ind w:left="420" w:leftChars="200"/>
    </w:pPr>
  </w:style>
  <w:style w:type="paragraph" w:styleId="3">
    <w:name w:val="Body Text"/>
    <w:basedOn w:val="1"/>
    <w:next w:val="1"/>
    <w:qFormat/>
    <w:uiPriority w:val="99"/>
    <w:rPr>
      <w:sz w:val="28"/>
      <w:szCs w:val="28"/>
    </w:rPr>
  </w:style>
  <w:style w:type="paragraph" w:styleId="8">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3"/>
    <w:next w:val="1"/>
    <w:qFormat/>
    <w:uiPriority w:val="0"/>
    <w:pPr>
      <w:spacing w:after="120"/>
      <w:ind w:firstLine="420" w:firstLineChars="100"/>
    </w:pPr>
  </w:style>
  <w:style w:type="paragraph" w:styleId="21">
    <w:name w:val="Body Text First Indent 2"/>
    <w:basedOn w:val="2"/>
    <w:next w:val="3"/>
    <w:unhideWhenUsed/>
    <w:qFormat/>
    <w:uiPriority w:val="99"/>
    <w:pPr>
      <w:ind w:firstLine="420" w:firstLineChars="2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10</Pages>
  <Words>3909</Words>
  <Characters>4319</Characters>
  <Lines>8</Lines>
  <Paragraphs>2</Paragraphs>
  <TotalTime>5</TotalTime>
  <ScaleCrop>false</ScaleCrop>
  <LinksUpToDate>false</LinksUpToDate>
  <CharactersWithSpaces>4338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Q</cp:lastModifiedBy>
  <dcterms:modified xsi:type="dcterms:W3CDTF">2025-07-23T04:00:14Z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CF4A7C9B14FA44EBAF6ABBFE76CFD9FE_13</vt:lpwstr>
  </property>
  <property fmtid="{D5CDD505-2E9C-101B-9397-08002B2CF9AE}" pid="4" name="KSOTemplateDocerSaveRecord">
    <vt:lpwstr>eyJoZGlkIjoiOWIxZTc1Y2E5YjI3MjZhMjA3Y2E3MGU4ZDFmNzMwZTEiLCJ1c2VySWQiOiIyODQ4ODI0NzAifQ==</vt:lpwstr>
  </property>
</Properties>
</file>