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6116">
      <w:pPr>
        <w:spacing w:before="156" w:line="317" w:lineRule="auto"/>
        <w:ind w:left="3628" w:leftChars="-155" w:hanging="3953" w:hangingChars="1422"/>
        <w:jc w:val="center"/>
        <w:outlineLvl w:val="0"/>
        <w:rPr>
          <w:rFonts w:hint="eastAsia" w:ascii="黑体" w:hAnsi="黑体" w:eastAsia="黑体" w:cs="黑体"/>
          <w:spacing w:val="-1"/>
          <w:sz w:val="28"/>
          <w:szCs w:val="28"/>
          <w:lang w:eastAsia="zh-CN"/>
        </w:rPr>
      </w:pPr>
      <w:r>
        <w:rPr>
          <w:rFonts w:hint="eastAsia" w:ascii="黑体" w:hAnsi="黑体" w:eastAsia="黑体" w:cs="黑体"/>
          <w:spacing w:val="-1"/>
          <w:sz w:val="28"/>
          <w:szCs w:val="28"/>
          <w:lang w:val="en-US" w:eastAsia="zh-CN"/>
        </w:rPr>
        <w:t xml:space="preserve">   </w:t>
      </w:r>
      <w:r>
        <w:rPr>
          <w:rFonts w:hint="eastAsia" w:ascii="黑体" w:hAnsi="黑体" w:eastAsia="黑体" w:cs="黑体"/>
          <w:spacing w:val="-1"/>
          <w:sz w:val="28"/>
          <w:szCs w:val="28"/>
          <w:lang w:eastAsia="zh-CN"/>
        </w:rPr>
        <w:t>中国石化山东泰山石油股份有限公司</w:t>
      </w:r>
      <w:r>
        <w:rPr>
          <w:rFonts w:hint="eastAsia" w:ascii="黑体" w:hAnsi="黑体" w:eastAsia="黑体" w:cs="黑体"/>
          <w:spacing w:val="-1"/>
          <w:sz w:val="28"/>
          <w:szCs w:val="28"/>
          <w:lang w:val="en-US" w:eastAsia="zh-CN"/>
        </w:rPr>
        <w:t>宁阳</w:t>
      </w:r>
      <w:r>
        <w:rPr>
          <w:rFonts w:hint="eastAsia" w:ascii="黑体" w:hAnsi="黑体" w:eastAsia="黑体" w:cs="黑体"/>
          <w:spacing w:val="-1"/>
          <w:sz w:val="28"/>
          <w:szCs w:val="28"/>
          <w:lang w:eastAsia="zh-CN"/>
        </w:rPr>
        <w:t>第</w:t>
      </w:r>
      <w:r>
        <w:rPr>
          <w:rFonts w:hint="eastAsia" w:ascii="黑体" w:hAnsi="黑体" w:eastAsia="黑体" w:cs="黑体"/>
          <w:spacing w:val="-1"/>
          <w:sz w:val="28"/>
          <w:szCs w:val="28"/>
          <w:lang w:val="en-US" w:eastAsia="zh-CN"/>
        </w:rPr>
        <w:t>十七</w:t>
      </w:r>
      <w:r>
        <w:rPr>
          <w:rFonts w:hint="eastAsia" w:ascii="黑体" w:hAnsi="黑体" w:eastAsia="黑体" w:cs="黑体"/>
          <w:spacing w:val="-1"/>
          <w:sz w:val="28"/>
          <w:szCs w:val="28"/>
          <w:lang w:eastAsia="zh-CN"/>
        </w:rPr>
        <w:t>加油</w:t>
      </w:r>
      <w:r>
        <w:rPr>
          <w:rFonts w:hint="eastAsia" w:ascii="黑体" w:hAnsi="黑体" w:eastAsia="黑体" w:cs="黑体"/>
          <w:spacing w:val="-1"/>
          <w:sz w:val="28"/>
          <w:szCs w:val="28"/>
          <w:lang w:val="en-US" w:eastAsia="zh-CN"/>
        </w:rPr>
        <w:t>加气</w:t>
      </w:r>
      <w:r>
        <w:rPr>
          <w:rFonts w:hint="eastAsia" w:ascii="黑体" w:hAnsi="黑体" w:eastAsia="黑体" w:cs="黑体"/>
          <w:spacing w:val="-1"/>
          <w:sz w:val="28"/>
          <w:szCs w:val="28"/>
          <w:lang w:eastAsia="zh-CN"/>
        </w:rPr>
        <w:t>站</w:t>
      </w:r>
    </w:p>
    <w:p w14:paraId="1D502629">
      <w:pPr>
        <w:spacing w:before="156" w:line="317" w:lineRule="auto"/>
        <w:ind w:left="3628" w:leftChars="-155" w:hanging="3953" w:hangingChars="1422"/>
        <w:jc w:val="center"/>
        <w:outlineLvl w:val="0"/>
        <w:rPr>
          <w:rFonts w:ascii="黑体" w:hAnsi="黑体" w:eastAsia="黑体" w:cs="黑体"/>
          <w:sz w:val="28"/>
          <w:szCs w:val="28"/>
        </w:rPr>
      </w:pPr>
      <w:r>
        <w:rPr>
          <w:rFonts w:hint="eastAsia" w:ascii="黑体" w:hAnsi="黑体" w:eastAsia="黑体" w:cs="黑体"/>
          <w:spacing w:val="-1"/>
          <w:sz w:val="28"/>
          <w:szCs w:val="28"/>
          <w:lang w:val="en-US" w:eastAsia="zh-CN"/>
        </w:rPr>
        <w:t xml:space="preserve">   </w:t>
      </w:r>
      <w:r>
        <w:rPr>
          <w:rFonts w:ascii="黑体" w:hAnsi="黑体" w:eastAsia="黑体" w:cs="黑体"/>
          <w:spacing w:val="-1"/>
          <w:sz w:val="28"/>
          <w:szCs w:val="28"/>
        </w:rPr>
        <w:t>经营危险化学品</w:t>
      </w:r>
      <w:r>
        <w:rPr>
          <w:rFonts w:ascii="黑体" w:hAnsi="黑体" w:eastAsia="黑体" w:cs="黑体"/>
          <w:spacing w:val="-2"/>
          <w:sz w:val="28"/>
          <w:szCs w:val="28"/>
        </w:rPr>
        <w:t>现状评价项目信息表</w:t>
      </w:r>
    </w:p>
    <w:p w14:paraId="05ED1C52">
      <w:pPr>
        <w:spacing w:before="168" w:line="228" w:lineRule="auto"/>
        <w:ind w:left="125"/>
        <w:rPr>
          <w:rFonts w:ascii="宋体" w:hAnsi="宋体" w:eastAsia="宋体" w:cs="宋体"/>
          <w:sz w:val="20"/>
          <w:szCs w:val="20"/>
        </w:rPr>
      </w:pPr>
      <w:r>
        <w:rPr>
          <w:rFonts w:ascii="宋体" w:hAnsi="宋体" w:eastAsia="宋体" w:cs="宋体"/>
          <w:spacing w:val="5"/>
          <w:sz w:val="20"/>
          <w:szCs w:val="20"/>
        </w:rPr>
        <w:t>项目编号：</w:t>
      </w:r>
    </w:p>
    <w:p w14:paraId="1CB0161A">
      <w:pPr>
        <w:spacing w:line="136" w:lineRule="auto"/>
        <w:rPr>
          <w:rFonts w:ascii="Arial"/>
          <w:sz w:val="2"/>
        </w:rPr>
      </w:pPr>
    </w:p>
    <w:tbl>
      <w:tblPr>
        <w:tblStyle w:val="7"/>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683"/>
        <w:gridCol w:w="1662"/>
        <w:gridCol w:w="3501"/>
        <w:gridCol w:w="1928"/>
      </w:tblGrid>
      <w:tr w14:paraId="2762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80" w:type="dxa"/>
            <w:vAlign w:val="top"/>
          </w:tcPr>
          <w:p w14:paraId="56342654">
            <w:pPr>
              <w:pStyle w:val="6"/>
              <w:spacing w:before="213" w:line="228" w:lineRule="auto"/>
              <w:ind w:left="120"/>
            </w:pPr>
            <w:r>
              <w:rPr>
                <w:spacing w:val="6"/>
              </w:rPr>
              <w:t>项目名称</w:t>
            </w:r>
          </w:p>
        </w:tc>
        <w:tc>
          <w:tcPr>
            <w:tcW w:w="7774" w:type="dxa"/>
            <w:gridSpan w:val="4"/>
            <w:vAlign w:val="center"/>
          </w:tcPr>
          <w:p w14:paraId="36089600">
            <w:pPr>
              <w:pStyle w:val="6"/>
              <w:spacing w:before="57" w:line="261" w:lineRule="auto"/>
              <w:ind w:right="318"/>
              <w:jc w:val="center"/>
              <w:rPr>
                <w:rFonts w:hint="eastAsia"/>
                <w:spacing w:val="9"/>
                <w:lang w:eastAsia="zh-CN"/>
              </w:rPr>
            </w:pPr>
            <w:r>
              <w:rPr>
                <w:rFonts w:hint="eastAsia"/>
                <w:spacing w:val="9"/>
                <w:lang w:val="en-US" w:eastAsia="zh-CN"/>
              </w:rPr>
              <w:t xml:space="preserve"> </w:t>
            </w:r>
            <w:r>
              <w:rPr>
                <w:rFonts w:hint="eastAsia"/>
                <w:spacing w:val="9"/>
                <w:lang w:eastAsia="zh-CN"/>
              </w:rPr>
              <w:t>中国石化山东泰山石油股份有限公司</w:t>
            </w:r>
            <w:r>
              <w:rPr>
                <w:rFonts w:hint="eastAsia"/>
                <w:spacing w:val="9"/>
                <w:lang w:val="en-US" w:eastAsia="zh-CN"/>
              </w:rPr>
              <w:t>宁阳</w:t>
            </w:r>
            <w:r>
              <w:rPr>
                <w:rFonts w:hint="eastAsia"/>
                <w:spacing w:val="9"/>
                <w:lang w:eastAsia="zh-CN"/>
              </w:rPr>
              <w:t>第</w:t>
            </w:r>
            <w:r>
              <w:rPr>
                <w:rFonts w:hint="eastAsia"/>
                <w:spacing w:val="9"/>
                <w:lang w:val="en-US" w:eastAsia="zh-CN"/>
              </w:rPr>
              <w:t>十七</w:t>
            </w:r>
            <w:r>
              <w:rPr>
                <w:rFonts w:hint="eastAsia"/>
                <w:spacing w:val="9"/>
                <w:lang w:eastAsia="zh-CN"/>
              </w:rPr>
              <w:t>加油</w:t>
            </w:r>
            <w:r>
              <w:rPr>
                <w:rFonts w:hint="eastAsia"/>
                <w:spacing w:val="9"/>
                <w:lang w:val="en-US" w:eastAsia="zh-CN"/>
              </w:rPr>
              <w:t>加气</w:t>
            </w:r>
            <w:r>
              <w:rPr>
                <w:rFonts w:hint="eastAsia"/>
                <w:spacing w:val="9"/>
                <w:lang w:eastAsia="zh-CN"/>
              </w:rPr>
              <w:t>站</w:t>
            </w:r>
          </w:p>
          <w:p w14:paraId="50A5A161">
            <w:pPr>
              <w:pStyle w:val="6"/>
              <w:spacing w:before="57" w:line="261" w:lineRule="auto"/>
              <w:ind w:right="318"/>
              <w:jc w:val="center"/>
            </w:pPr>
            <w:r>
              <w:rPr>
                <w:spacing w:val="9"/>
              </w:rPr>
              <w:t>经营危险化学品</w:t>
            </w:r>
            <w:r>
              <w:rPr>
                <w:rFonts w:hint="eastAsia"/>
                <w:spacing w:val="9"/>
                <w:lang w:val="en-US" w:eastAsia="zh-CN"/>
              </w:rPr>
              <w:t>安全</w:t>
            </w:r>
            <w:r>
              <w:rPr>
                <w:spacing w:val="6"/>
              </w:rPr>
              <w:t>现状评价</w:t>
            </w:r>
          </w:p>
        </w:tc>
      </w:tr>
      <w:tr w14:paraId="0D57B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1180" w:type="dxa"/>
            <w:vAlign w:val="top"/>
          </w:tcPr>
          <w:p w14:paraId="1E3F799C">
            <w:pPr>
              <w:spacing w:line="250" w:lineRule="auto"/>
              <w:rPr>
                <w:rFonts w:ascii="Arial"/>
                <w:sz w:val="21"/>
              </w:rPr>
            </w:pPr>
          </w:p>
          <w:p w14:paraId="20F0E89C">
            <w:pPr>
              <w:spacing w:line="250" w:lineRule="auto"/>
              <w:rPr>
                <w:rFonts w:ascii="Arial"/>
                <w:sz w:val="21"/>
              </w:rPr>
            </w:pPr>
          </w:p>
          <w:p w14:paraId="31894B23">
            <w:pPr>
              <w:spacing w:line="250" w:lineRule="auto"/>
              <w:rPr>
                <w:rFonts w:ascii="Arial"/>
                <w:sz w:val="21"/>
              </w:rPr>
            </w:pPr>
          </w:p>
          <w:p w14:paraId="6CEE7778">
            <w:pPr>
              <w:spacing w:line="250" w:lineRule="auto"/>
              <w:rPr>
                <w:rFonts w:ascii="Arial"/>
                <w:sz w:val="21"/>
              </w:rPr>
            </w:pPr>
          </w:p>
          <w:p w14:paraId="2FE2E969">
            <w:pPr>
              <w:spacing w:line="251" w:lineRule="auto"/>
              <w:rPr>
                <w:rFonts w:ascii="Arial"/>
                <w:sz w:val="21"/>
              </w:rPr>
            </w:pPr>
          </w:p>
          <w:p w14:paraId="319DBBD5">
            <w:pPr>
              <w:pStyle w:val="6"/>
              <w:spacing w:before="65" w:line="227" w:lineRule="auto"/>
              <w:ind w:left="120"/>
            </w:pPr>
            <w:r>
              <w:rPr>
                <w:spacing w:val="6"/>
              </w:rPr>
              <w:t>项目简介</w:t>
            </w:r>
          </w:p>
        </w:tc>
        <w:tc>
          <w:tcPr>
            <w:tcW w:w="7774" w:type="dxa"/>
            <w:gridSpan w:val="4"/>
            <w:vAlign w:val="top"/>
          </w:tcPr>
          <w:p w14:paraId="02B49EB0">
            <w:pPr>
              <w:pStyle w:val="6"/>
              <w:spacing w:before="30" w:line="371" w:lineRule="auto"/>
              <w:ind w:left="112" w:right="38" w:firstLine="423"/>
              <w:jc w:val="both"/>
              <w:rPr>
                <w:rFonts w:hint="eastAsia" w:ascii="宋体" w:hAnsi="宋体" w:eastAsia="宋体" w:cs="宋体"/>
                <w:lang w:eastAsia="zh-CN"/>
              </w:rPr>
            </w:pPr>
            <w:r>
              <w:rPr>
                <w:rFonts w:hint="eastAsia" w:ascii="宋体" w:hAnsi="宋体" w:eastAsia="宋体" w:cs="宋体"/>
                <w:lang w:val="en-US" w:eastAsia="zh-CN"/>
              </w:rPr>
              <w:t>该加油站主要建有站房、油罐区、加油区、充电区</w:t>
            </w:r>
            <w:r>
              <w:rPr>
                <w:rFonts w:hint="eastAsia" w:ascii="宋体" w:hAnsi="宋体" w:eastAsia="宋体" w:cs="宋体"/>
                <w:lang w:eastAsia="zh-CN"/>
              </w:rPr>
              <w:t>。加油区在站房</w:t>
            </w:r>
            <w:r>
              <w:rPr>
                <w:rFonts w:hint="eastAsia" w:ascii="宋体" w:hAnsi="宋体" w:eastAsia="宋体" w:cs="宋体"/>
                <w:lang w:val="en-US" w:eastAsia="zh-CN"/>
              </w:rPr>
              <w:t>北</w:t>
            </w:r>
            <w:r>
              <w:rPr>
                <w:rFonts w:hint="eastAsia" w:ascii="宋体" w:hAnsi="宋体" w:eastAsia="宋体" w:cs="宋体"/>
                <w:lang w:eastAsia="zh-CN"/>
              </w:rPr>
              <w:t>侧，现有</w:t>
            </w:r>
            <w:r>
              <w:rPr>
                <w:rFonts w:hint="eastAsia" w:ascii="宋体" w:hAnsi="宋体" w:eastAsia="宋体" w:cs="宋体"/>
                <w:lang w:val="en-US" w:eastAsia="zh-CN"/>
              </w:rPr>
              <w:t>4台</w:t>
            </w:r>
            <w:r>
              <w:rPr>
                <w:rFonts w:hint="eastAsia" w:ascii="宋体" w:hAnsi="宋体" w:eastAsia="宋体" w:cs="宋体"/>
                <w:lang w:eastAsia="zh-CN"/>
              </w:rPr>
              <w:t>加油机（</w:t>
            </w:r>
            <w:r>
              <w:rPr>
                <w:rFonts w:hint="eastAsia" w:ascii="宋体" w:hAnsi="宋体" w:eastAsia="宋体" w:cs="宋体"/>
                <w:lang w:val="en-US" w:eastAsia="zh-CN"/>
              </w:rPr>
              <w:t>其中汽油加油机均为双枪双油品</w:t>
            </w:r>
            <w:r>
              <w:rPr>
                <w:rFonts w:hint="eastAsia" w:ascii="宋体" w:hAnsi="宋体" w:eastAsia="宋体" w:cs="宋体"/>
                <w:lang w:eastAsia="zh-CN"/>
              </w:rPr>
              <w:t>），均为</w:t>
            </w:r>
            <w:r>
              <w:rPr>
                <w:rFonts w:hint="eastAsia" w:ascii="宋体" w:hAnsi="宋体" w:eastAsia="宋体" w:cs="宋体"/>
                <w:lang w:val="en-US" w:eastAsia="zh-CN"/>
              </w:rPr>
              <w:t>自吸</w:t>
            </w:r>
            <w:r>
              <w:rPr>
                <w:rFonts w:hint="eastAsia" w:ascii="宋体" w:hAnsi="宋体" w:eastAsia="宋体" w:cs="宋体"/>
                <w:lang w:eastAsia="zh-CN"/>
              </w:rPr>
              <w:t>式；</w:t>
            </w:r>
            <w:r>
              <w:rPr>
                <w:rFonts w:hint="eastAsia" w:ascii="宋体" w:hAnsi="宋体" w:eastAsia="宋体" w:cs="宋体"/>
                <w:lang w:val="en-US" w:eastAsia="zh-CN"/>
              </w:rPr>
              <w:t>充电区在罐区西南侧，设有5台充电桩、1台充电桩专用箱变；</w:t>
            </w:r>
            <w:r>
              <w:rPr>
                <w:rFonts w:hint="eastAsia" w:ascii="宋体" w:hAnsi="宋体" w:eastAsia="宋体" w:cs="宋体"/>
                <w:lang w:eastAsia="zh-CN"/>
              </w:rPr>
              <w:t>油罐区在站房</w:t>
            </w:r>
            <w:r>
              <w:rPr>
                <w:rFonts w:hint="eastAsia" w:ascii="宋体" w:hAnsi="宋体" w:eastAsia="宋体" w:cs="宋体"/>
                <w:lang w:val="en-US" w:eastAsia="zh-CN"/>
              </w:rPr>
              <w:t>南侧</w:t>
            </w:r>
            <w:r>
              <w:rPr>
                <w:rFonts w:hint="eastAsia" w:ascii="宋体" w:hAnsi="宋体" w:eastAsia="宋体" w:cs="宋体"/>
                <w:lang w:eastAsia="zh-CN"/>
              </w:rPr>
              <w:t>，现有</w:t>
            </w:r>
            <w:r>
              <w:rPr>
                <w:rFonts w:hint="eastAsia" w:ascii="宋体" w:hAnsi="宋体" w:eastAsia="宋体" w:cs="宋体"/>
                <w:lang w:val="en-US" w:eastAsia="zh-CN"/>
              </w:rPr>
              <w:t>4</w:t>
            </w:r>
            <w:r>
              <w:rPr>
                <w:rFonts w:hint="eastAsia" w:ascii="宋体" w:hAnsi="宋体" w:eastAsia="宋体" w:cs="宋体"/>
                <w:lang w:eastAsia="zh-CN"/>
              </w:rPr>
              <w:t>台埋地</w:t>
            </w:r>
            <w:r>
              <w:rPr>
                <w:rFonts w:hint="eastAsia" w:ascii="宋体" w:hAnsi="宋体" w:eastAsia="宋体" w:cs="宋体"/>
                <w:lang w:val="en-US" w:eastAsia="zh-CN"/>
              </w:rPr>
              <w:t>双层</w:t>
            </w:r>
            <w:r>
              <w:rPr>
                <w:rFonts w:hint="eastAsia" w:ascii="宋体" w:hAnsi="宋体" w:eastAsia="宋体" w:cs="宋体"/>
                <w:lang w:eastAsia="zh-CN"/>
              </w:rPr>
              <w:t>储罐（包括1台</w:t>
            </w:r>
            <w:r>
              <w:rPr>
                <w:rFonts w:hint="eastAsia" w:ascii="宋体" w:hAnsi="宋体" w:eastAsia="宋体" w:cs="宋体"/>
                <w:lang w:val="en-US" w:eastAsia="zh-CN"/>
              </w:rPr>
              <w:t>30m3</w:t>
            </w:r>
            <w:r>
              <w:rPr>
                <w:rFonts w:hint="eastAsia" w:ascii="宋体" w:hAnsi="宋体" w:eastAsia="宋体" w:cs="宋体"/>
                <w:lang w:eastAsia="zh-CN"/>
              </w:rPr>
              <w:t>92#汽油罐、1台</w:t>
            </w:r>
            <w:r>
              <w:rPr>
                <w:rFonts w:hint="eastAsia" w:ascii="宋体" w:hAnsi="宋体" w:eastAsia="宋体" w:cs="宋体"/>
                <w:lang w:val="en-US" w:eastAsia="zh-CN"/>
              </w:rPr>
              <w:t>30m395#</w:t>
            </w:r>
            <w:r>
              <w:rPr>
                <w:rFonts w:hint="eastAsia" w:ascii="宋体" w:hAnsi="宋体" w:eastAsia="宋体" w:cs="宋体"/>
                <w:lang w:eastAsia="zh-CN"/>
              </w:rPr>
              <w:t>油罐、</w:t>
            </w:r>
            <w:r>
              <w:rPr>
                <w:rFonts w:hint="eastAsia" w:ascii="宋体" w:hAnsi="宋体" w:eastAsia="宋体" w:cs="宋体"/>
                <w:lang w:val="en-US" w:eastAsia="zh-CN"/>
              </w:rPr>
              <w:t>2</w:t>
            </w:r>
            <w:r>
              <w:rPr>
                <w:rFonts w:hint="eastAsia" w:ascii="宋体" w:hAnsi="宋体" w:eastAsia="宋体" w:cs="宋体"/>
                <w:lang w:eastAsia="zh-CN"/>
              </w:rPr>
              <w:t>台</w:t>
            </w:r>
            <w:r>
              <w:rPr>
                <w:rFonts w:hint="eastAsia" w:ascii="宋体" w:hAnsi="宋体" w:eastAsia="宋体" w:cs="宋体"/>
                <w:lang w:val="en-US" w:eastAsia="zh-CN"/>
              </w:rPr>
              <w:t>30m3柴</w:t>
            </w:r>
            <w:r>
              <w:rPr>
                <w:rFonts w:hint="eastAsia" w:ascii="宋体" w:hAnsi="宋体" w:eastAsia="宋体" w:cs="宋体"/>
                <w:lang w:eastAsia="zh-CN"/>
              </w:rPr>
              <w:t>油罐），</w:t>
            </w:r>
            <w:r>
              <w:rPr>
                <w:rFonts w:hint="eastAsia" w:ascii="宋体" w:hAnsi="宋体" w:eastAsia="宋体" w:cs="宋体"/>
                <w:lang w:val="en-US" w:eastAsia="zh-CN"/>
              </w:rPr>
              <w:t>4</w:t>
            </w:r>
            <w:r>
              <w:rPr>
                <w:rFonts w:hint="eastAsia" w:ascii="宋体" w:hAnsi="宋体" w:eastAsia="宋体" w:cs="宋体"/>
                <w:lang w:eastAsia="zh-CN"/>
              </w:rPr>
              <w:t>台油罐均安装了液位仪，其油罐埋地设置，通气管</w:t>
            </w:r>
            <w:r>
              <w:rPr>
                <w:rFonts w:hint="eastAsia" w:ascii="宋体" w:hAnsi="宋体" w:eastAsia="宋体" w:cs="宋体"/>
                <w:lang w:val="en-US" w:eastAsia="zh-CN"/>
              </w:rPr>
              <w:t>5</w:t>
            </w:r>
            <w:r>
              <w:rPr>
                <w:rFonts w:hint="eastAsia" w:ascii="宋体" w:hAnsi="宋体" w:eastAsia="宋体" w:cs="宋体"/>
                <w:lang w:eastAsia="zh-CN"/>
              </w:rPr>
              <w:t>根（油气回收</w:t>
            </w:r>
            <w:r>
              <w:rPr>
                <w:rFonts w:hint="eastAsia" w:ascii="宋体" w:hAnsi="宋体" w:eastAsia="宋体" w:cs="宋体"/>
                <w:lang w:val="en-US" w:eastAsia="zh-CN"/>
              </w:rPr>
              <w:t>处理</w:t>
            </w:r>
            <w:r>
              <w:rPr>
                <w:rFonts w:hint="eastAsia" w:ascii="宋体" w:hAnsi="宋体" w:eastAsia="宋体" w:cs="宋体"/>
                <w:lang w:eastAsia="zh-CN"/>
              </w:rPr>
              <w:t>装置1根）；该站汽油设有加油、卸油油气回收系统</w:t>
            </w:r>
            <w:r>
              <w:rPr>
                <w:rFonts w:hint="eastAsia" w:ascii="宋体" w:hAnsi="宋体" w:eastAsia="宋体" w:cs="宋体"/>
                <w:lang w:val="en-US" w:eastAsia="zh-CN"/>
              </w:rPr>
              <w:t>及油气处理装置（三次油气回收系统）</w:t>
            </w:r>
            <w:r>
              <w:rPr>
                <w:rFonts w:hint="eastAsia" w:ascii="宋体" w:hAnsi="宋体" w:eastAsia="宋体" w:cs="宋体"/>
                <w:lang w:eastAsia="zh-CN"/>
              </w:rPr>
              <w:t>；</w:t>
            </w:r>
            <w:r>
              <w:rPr>
                <w:rFonts w:hint="eastAsia" w:ascii="宋体" w:hAnsi="宋体" w:eastAsia="宋体" w:cs="宋体"/>
                <w:lang w:val="en-US" w:eastAsia="zh-CN"/>
              </w:rPr>
              <w:t>因CNG加气子站已停用并拆除，</w:t>
            </w:r>
            <w:r>
              <w:rPr>
                <w:rFonts w:hint="eastAsia" w:ascii="宋体" w:hAnsi="宋体" w:eastAsia="宋体" w:cs="宋体"/>
                <w:lang w:eastAsia="zh-CN"/>
              </w:rPr>
              <w:t>按《汽车加油加气加氢站技术标准》GB50156-2021标准规定：V=</w:t>
            </w:r>
            <w:r>
              <w:rPr>
                <w:rFonts w:hint="eastAsia" w:ascii="宋体" w:hAnsi="宋体" w:eastAsia="宋体" w:cs="宋体"/>
                <w:lang w:val="en-US" w:eastAsia="zh-CN"/>
              </w:rPr>
              <w:t>90</w:t>
            </w:r>
            <w:r>
              <w:rPr>
                <w:rFonts w:hint="eastAsia" w:ascii="宋体" w:hAnsi="宋体" w:eastAsia="宋体" w:cs="宋体"/>
                <w:lang w:eastAsia="zh-CN"/>
              </w:rPr>
              <w:t>m3，该站属</w:t>
            </w:r>
            <w:r>
              <w:rPr>
                <w:rFonts w:hint="eastAsia" w:ascii="宋体" w:hAnsi="宋体" w:eastAsia="宋体" w:cs="宋体"/>
                <w:lang w:val="en-US" w:eastAsia="zh-CN"/>
              </w:rPr>
              <w:t>三</w:t>
            </w:r>
            <w:r>
              <w:rPr>
                <w:rFonts w:hint="eastAsia" w:ascii="宋体" w:hAnsi="宋体" w:eastAsia="宋体" w:cs="宋体"/>
                <w:lang w:eastAsia="zh-CN"/>
              </w:rPr>
              <w:t>级加油站。</w:t>
            </w:r>
          </w:p>
        </w:tc>
      </w:tr>
      <w:tr w14:paraId="101A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63" w:type="dxa"/>
            <w:gridSpan w:val="2"/>
            <w:vAlign w:val="top"/>
          </w:tcPr>
          <w:p w14:paraId="17A967BD">
            <w:pPr>
              <w:pStyle w:val="6"/>
              <w:spacing w:before="303" w:line="226" w:lineRule="auto"/>
              <w:ind w:left="516"/>
            </w:pPr>
            <w:r>
              <w:rPr>
                <w:spacing w:val="7"/>
              </w:rPr>
              <w:t>评价人员</w:t>
            </w:r>
          </w:p>
        </w:tc>
        <w:tc>
          <w:tcPr>
            <w:tcW w:w="5163" w:type="dxa"/>
            <w:gridSpan w:val="2"/>
            <w:vAlign w:val="top"/>
          </w:tcPr>
          <w:p w14:paraId="2BFFD54D">
            <w:pPr>
              <w:pStyle w:val="6"/>
              <w:spacing w:before="303" w:line="228" w:lineRule="auto"/>
              <w:ind w:left="2273"/>
            </w:pPr>
            <w:r>
              <w:t>姓</w:t>
            </w:r>
            <w:r>
              <w:rPr>
                <w:spacing w:val="10"/>
              </w:rPr>
              <w:t xml:space="preserve">  </w:t>
            </w:r>
            <w:r>
              <w:t>名</w:t>
            </w:r>
          </w:p>
        </w:tc>
        <w:tc>
          <w:tcPr>
            <w:tcW w:w="1928" w:type="dxa"/>
            <w:vAlign w:val="top"/>
          </w:tcPr>
          <w:p w14:paraId="7E0C50CA">
            <w:pPr>
              <w:pStyle w:val="6"/>
              <w:spacing w:before="303" w:line="229" w:lineRule="auto"/>
              <w:ind w:left="761"/>
            </w:pPr>
            <w:r>
              <w:rPr>
                <w:spacing w:val="3"/>
              </w:rPr>
              <w:t>备注</w:t>
            </w:r>
          </w:p>
        </w:tc>
      </w:tr>
      <w:tr w14:paraId="6B4D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3" w:type="dxa"/>
            <w:gridSpan w:val="2"/>
            <w:vAlign w:val="top"/>
          </w:tcPr>
          <w:p w14:paraId="152FE82C">
            <w:pPr>
              <w:pStyle w:val="6"/>
              <w:spacing w:before="101" w:line="228" w:lineRule="auto"/>
              <w:ind w:left="415"/>
            </w:pPr>
            <w:r>
              <w:rPr>
                <w:spacing w:val="7"/>
              </w:rPr>
              <w:t>项目负责人</w:t>
            </w:r>
          </w:p>
        </w:tc>
        <w:tc>
          <w:tcPr>
            <w:tcW w:w="5163" w:type="dxa"/>
            <w:gridSpan w:val="2"/>
            <w:vAlign w:val="top"/>
          </w:tcPr>
          <w:p w14:paraId="7F1DFC3C">
            <w:pPr>
              <w:pStyle w:val="6"/>
              <w:spacing w:before="101" w:line="228" w:lineRule="auto"/>
              <w:ind w:left="2280"/>
            </w:pPr>
            <w:r>
              <w:rPr>
                <w:rFonts w:hint="eastAsia"/>
                <w:spacing w:val="7"/>
                <w:lang w:val="en-US" w:eastAsia="zh-CN"/>
              </w:rPr>
              <w:t>辛 磊</w:t>
            </w:r>
          </w:p>
        </w:tc>
        <w:tc>
          <w:tcPr>
            <w:tcW w:w="1928" w:type="dxa"/>
            <w:vAlign w:val="top"/>
          </w:tcPr>
          <w:p w14:paraId="1BED8A66">
            <w:pPr>
              <w:rPr>
                <w:rFonts w:ascii="Arial"/>
                <w:sz w:val="21"/>
              </w:rPr>
            </w:pPr>
          </w:p>
        </w:tc>
      </w:tr>
      <w:tr w14:paraId="700A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863" w:type="dxa"/>
            <w:gridSpan w:val="2"/>
            <w:vMerge w:val="restart"/>
            <w:tcBorders>
              <w:bottom w:val="nil"/>
            </w:tcBorders>
            <w:vAlign w:val="top"/>
          </w:tcPr>
          <w:p w14:paraId="31978535">
            <w:pPr>
              <w:spacing w:line="259" w:lineRule="auto"/>
              <w:rPr>
                <w:rFonts w:ascii="Arial"/>
                <w:sz w:val="21"/>
              </w:rPr>
            </w:pPr>
          </w:p>
          <w:p w14:paraId="07194E52">
            <w:pPr>
              <w:spacing w:line="260" w:lineRule="auto"/>
              <w:rPr>
                <w:rFonts w:ascii="Arial"/>
                <w:sz w:val="21"/>
              </w:rPr>
            </w:pPr>
          </w:p>
          <w:p w14:paraId="2EEB3D8A">
            <w:pPr>
              <w:spacing w:line="260" w:lineRule="auto"/>
              <w:rPr>
                <w:rFonts w:ascii="Arial"/>
                <w:sz w:val="21"/>
              </w:rPr>
            </w:pPr>
          </w:p>
          <w:p w14:paraId="35731B8D">
            <w:pPr>
              <w:pStyle w:val="6"/>
              <w:spacing w:before="65" w:line="228" w:lineRule="auto"/>
              <w:ind w:left="415"/>
            </w:pPr>
            <w:r>
              <w:rPr>
                <w:spacing w:val="7"/>
              </w:rPr>
              <w:t>项目组成员</w:t>
            </w:r>
          </w:p>
        </w:tc>
        <w:tc>
          <w:tcPr>
            <w:tcW w:w="5163" w:type="dxa"/>
            <w:gridSpan w:val="2"/>
            <w:vAlign w:val="top"/>
          </w:tcPr>
          <w:p w14:paraId="1B2595E1">
            <w:pPr>
              <w:pStyle w:val="6"/>
              <w:spacing w:before="130" w:line="229" w:lineRule="auto"/>
              <w:ind w:firstLine="2288" w:firstLineChars="1100"/>
              <w:rPr>
                <w:rFonts w:hint="eastAsia" w:eastAsia="宋体"/>
                <w:lang w:eastAsia="zh-CN"/>
              </w:rPr>
            </w:pPr>
            <w:r>
              <w:rPr>
                <w:spacing w:val="4"/>
              </w:rPr>
              <w:t>马琳琳</w:t>
            </w:r>
          </w:p>
        </w:tc>
        <w:tc>
          <w:tcPr>
            <w:tcW w:w="1928" w:type="dxa"/>
            <w:vAlign w:val="top"/>
          </w:tcPr>
          <w:p w14:paraId="3AAF62AC">
            <w:pPr>
              <w:rPr>
                <w:rFonts w:ascii="Arial"/>
                <w:sz w:val="21"/>
              </w:rPr>
            </w:pPr>
          </w:p>
        </w:tc>
      </w:tr>
      <w:tr w14:paraId="1746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218410DB">
            <w:pPr>
              <w:rPr>
                <w:rFonts w:ascii="Arial"/>
                <w:sz w:val="21"/>
              </w:rPr>
            </w:pPr>
          </w:p>
        </w:tc>
        <w:tc>
          <w:tcPr>
            <w:tcW w:w="5163" w:type="dxa"/>
            <w:gridSpan w:val="2"/>
            <w:vAlign w:val="top"/>
          </w:tcPr>
          <w:p w14:paraId="050B3E77">
            <w:pPr>
              <w:pStyle w:val="6"/>
              <w:spacing w:before="130" w:line="228" w:lineRule="auto"/>
              <w:ind w:left="2272"/>
              <w:rPr>
                <w:rFonts w:hint="eastAsia" w:eastAsia="宋体"/>
                <w:lang w:val="en-US" w:eastAsia="zh-CN"/>
              </w:rPr>
            </w:pPr>
            <w:r>
              <w:rPr>
                <w:rFonts w:hint="eastAsia"/>
                <w:lang w:val="en-US" w:eastAsia="zh-CN"/>
              </w:rPr>
              <w:t>刘卫国</w:t>
            </w:r>
          </w:p>
        </w:tc>
        <w:tc>
          <w:tcPr>
            <w:tcW w:w="1928" w:type="dxa"/>
            <w:vAlign w:val="top"/>
          </w:tcPr>
          <w:p w14:paraId="669730D4">
            <w:pPr>
              <w:rPr>
                <w:rFonts w:ascii="Arial"/>
                <w:sz w:val="21"/>
              </w:rPr>
            </w:pPr>
          </w:p>
        </w:tc>
      </w:tr>
      <w:tr w14:paraId="4C64D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6C4188F0">
            <w:pPr>
              <w:rPr>
                <w:rFonts w:ascii="Arial"/>
                <w:sz w:val="21"/>
              </w:rPr>
            </w:pPr>
          </w:p>
        </w:tc>
        <w:tc>
          <w:tcPr>
            <w:tcW w:w="5163" w:type="dxa"/>
            <w:gridSpan w:val="2"/>
            <w:vAlign w:val="top"/>
          </w:tcPr>
          <w:p w14:paraId="4E7A6962">
            <w:pPr>
              <w:pStyle w:val="6"/>
              <w:spacing w:before="132" w:line="227" w:lineRule="auto"/>
              <w:ind w:left="2378"/>
            </w:pPr>
            <w:r>
              <w:rPr>
                <w:spacing w:val="3"/>
              </w:rPr>
              <w:t>王静</w:t>
            </w:r>
          </w:p>
        </w:tc>
        <w:tc>
          <w:tcPr>
            <w:tcW w:w="1928" w:type="dxa"/>
            <w:vAlign w:val="top"/>
          </w:tcPr>
          <w:p w14:paraId="311C5BE8">
            <w:pPr>
              <w:rPr>
                <w:rFonts w:ascii="Arial"/>
                <w:sz w:val="21"/>
              </w:rPr>
            </w:pPr>
          </w:p>
        </w:tc>
      </w:tr>
      <w:tr w14:paraId="0986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tcBorders>
            <w:vAlign w:val="top"/>
          </w:tcPr>
          <w:p w14:paraId="58580295">
            <w:pPr>
              <w:rPr>
                <w:rFonts w:ascii="Arial"/>
                <w:sz w:val="21"/>
              </w:rPr>
            </w:pPr>
          </w:p>
        </w:tc>
        <w:tc>
          <w:tcPr>
            <w:tcW w:w="5163" w:type="dxa"/>
            <w:gridSpan w:val="2"/>
            <w:vAlign w:val="top"/>
          </w:tcPr>
          <w:p w14:paraId="6B34158D">
            <w:pPr>
              <w:pStyle w:val="6"/>
              <w:spacing w:before="132" w:line="228" w:lineRule="auto"/>
              <w:ind w:left="2273"/>
              <w:rPr>
                <w:rFonts w:hint="eastAsia" w:eastAsia="宋体"/>
                <w:lang w:eastAsia="zh-CN"/>
              </w:rPr>
            </w:pPr>
            <w:r>
              <w:rPr>
                <w:rFonts w:hint="eastAsia"/>
                <w:spacing w:val="6"/>
                <w:lang w:val="en-US" w:eastAsia="zh-CN"/>
              </w:rPr>
              <w:t>刘振忠</w:t>
            </w:r>
          </w:p>
        </w:tc>
        <w:tc>
          <w:tcPr>
            <w:tcW w:w="1928" w:type="dxa"/>
            <w:vAlign w:val="top"/>
          </w:tcPr>
          <w:p w14:paraId="3E3EAFA0">
            <w:pPr>
              <w:rPr>
                <w:rFonts w:ascii="Arial"/>
                <w:sz w:val="21"/>
              </w:rPr>
            </w:pPr>
          </w:p>
        </w:tc>
      </w:tr>
      <w:tr w14:paraId="026F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863" w:type="dxa"/>
            <w:gridSpan w:val="2"/>
            <w:vAlign w:val="top"/>
          </w:tcPr>
          <w:p w14:paraId="76B80D44">
            <w:pPr>
              <w:pStyle w:val="6"/>
              <w:spacing w:before="95" w:line="226" w:lineRule="auto"/>
              <w:ind w:left="410"/>
            </w:pPr>
            <w:r>
              <w:rPr>
                <w:spacing w:val="8"/>
              </w:rPr>
              <w:t>报告编制人</w:t>
            </w:r>
          </w:p>
        </w:tc>
        <w:tc>
          <w:tcPr>
            <w:tcW w:w="5163" w:type="dxa"/>
            <w:gridSpan w:val="2"/>
            <w:vAlign w:val="top"/>
          </w:tcPr>
          <w:p w14:paraId="4EE98977">
            <w:pPr>
              <w:pStyle w:val="6"/>
              <w:spacing w:before="96" w:line="228" w:lineRule="auto"/>
              <w:ind w:left="2280"/>
            </w:pPr>
            <w:r>
              <w:rPr>
                <w:spacing w:val="4"/>
              </w:rPr>
              <w:t>马琳琳</w:t>
            </w:r>
          </w:p>
        </w:tc>
        <w:tc>
          <w:tcPr>
            <w:tcW w:w="1928" w:type="dxa"/>
            <w:vAlign w:val="top"/>
          </w:tcPr>
          <w:p w14:paraId="0C0B7CC2">
            <w:pPr>
              <w:rPr>
                <w:rFonts w:ascii="Arial"/>
                <w:sz w:val="21"/>
              </w:rPr>
            </w:pPr>
          </w:p>
        </w:tc>
      </w:tr>
      <w:tr w14:paraId="4B5E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36751E35">
            <w:pPr>
              <w:pStyle w:val="6"/>
              <w:spacing w:before="97" w:line="226" w:lineRule="auto"/>
              <w:ind w:left="410"/>
            </w:pPr>
            <w:r>
              <w:rPr>
                <w:spacing w:val="8"/>
              </w:rPr>
              <w:t>报告审核人</w:t>
            </w:r>
          </w:p>
        </w:tc>
        <w:tc>
          <w:tcPr>
            <w:tcW w:w="5163" w:type="dxa"/>
            <w:gridSpan w:val="2"/>
            <w:vAlign w:val="top"/>
          </w:tcPr>
          <w:p w14:paraId="007E677D">
            <w:pPr>
              <w:pStyle w:val="6"/>
              <w:spacing w:before="97" w:line="229" w:lineRule="auto"/>
              <w:ind w:left="2376"/>
              <w:rPr>
                <w:rFonts w:hint="eastAsia" w:eastAsia="宋体"/>
                <w:lang w:eastAsia="zh-CN"/>
              </w:rPr>
            </w:pPr>
            <w:r>
              <w:rPr>
                <w:rFonts w:hint="eastAsia"/>
                <w:spacing w:val="4"/>
                <w:lang w:val="en-US" w:eastAsia="zh-CN"/>
              </w:rPr>
              <w:t>崔强</w:t>
            </w:r>
          </w:p>
        </w:tc>
        <w:tc>
          <w:tcPr>
            <w:tcW w:w="1928" w:type="dxa"/>
            <w:vAlign w:val="top"/>
          </w:tcPr>
          <w:p w14:paraId="70C89C38">
            <w:pPr>
              <w:rPr>
                <w:rFonts w:ascii="Arial"/>
                <w:sz w:val="21"/>
              </w:rPr>
            </w:pPr>
          </w:p>
        </w:tc>
      </w:tr>
      <w:tr w14:paraId="66CB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63" w:type="dxa"/>
            <w:gridSpan w:val="2"/>
            <w:vAlign w:val="top"/>
          </w:tcPr>
          <w:p w14:paraId="467D9B38">
            <w:pPr>
              <w:pStyle w:val="6"/>
              <w:spacing w:before="110" w:line="228" w:lineRule="auto"/>
              <w:ind w:left="203"/>
            </w:pPr>
            <w:r>
              <w:rPr>
                <w:spacing w:val="8"/>
              </w:rPr>
              <w:t>过程控制负责人</w:t>
            </w:r>
          </w:p>
        </w:tc>
        <w:tc>
          <w:tcPr>
            <w:tcW w:w="5163" w:type="dxa"/>
            <w:gridSpan w:val="2"/>
            <w:vAlign w:val="top"/>
          </w:tcPr>
          <w:p w14:paraId="157CCBC9">
            <w:pPr>
              <w:pStyle w:val="6"/>
              <w:spacing w:before="110" w:line="229" w:lineRule="auto"/>
              <w:ind w:left="2272"/>
            </w:pPr>
            <w:r>
              <w:rPr>
                <w:spacing w:val="7"/>
              </w:rPr>
              <w:t>刘云红</w:t>
            </w:r>
          </w:p>
        </w:tc>
        <w:tc>
          <w:tcPr>
            <w:tcW w:w="1928" w:type="dxa"/>
            <w:vAlign w:val="top"/>
          </w:tcPr>
          <w:p w14:paraId="16925B08">
            <w:pPr>
              <w:rPr>
                <w:rFonts w:ascii="Arial"/>
                <w:sz w:val="21"/>
              </w:rPr>
            </w:pPr>
          </w:p>
        </w:tc>
      </w:tr>
      <w:tr w14:paraId="38CF6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2873030">
            <w:pPr>
              <w:pStyle w:val="6"/>
              <w:spacing w:before="96" w:line="228" w:lineRule="auto"/>
              <w:ind w:left="412"/>
            </w:pPr>
            <w:r>
              <w:rPr>
                <w:spacing w:val="7"/>
              </w:rPr>
              <w:t>技术负责人</w:t>
            </w:r>
          </w:p>
        </w:tc>
        <w:tc>
          <w:tcPr>
            <w:tcW w:w="5163" w:type="dxa"/>
            <w:gridSpan w:val="2"/>
            <w:vAlign w:val="top"/>
          </w:tcPr>
          <w:p w14:paraId="626DB1B1">
            <w:pPr>
              <w:pStyle w:val="6"/>
              <w:spacing w:before="96" w:line="228" w:lineRule="auto"/>
              <w:ind w:left="2272"/>
            </w:pPr>
            <w:r>
              <w:rPr>
                <w:spacing w:val="7"/>
              </w:rPr>
              <w:t>赵云峰</w:t>
            </w:r>
          </w:p>
        </w:tc>
        <w:tc>
          <w:tcPr>
            <w:tcW w:w="1928" w:type="dxa"/>
            <w:vAlign w:val="top"/>
          </w:tcPr>
          <w:p w14:paraId="13C305BE">
            <w:pPr>
              <w:rPr>
                <w:rFonts w:ascii="Arial"/>
                <w:sz w:val="21"/>
              </w:rPr>
            </w:pPr>
          </w:p>
        </w:tc>
      </w:tr>
      <w:tr w14:paraId="39BC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863" w:type="dxa"/>
            <w:gridSpan w:val="2"/>
            <w:vMerge w:val="restart"/>
            <w:tcBorders>
              <w:bottom w:val="nil"/>
            </w:tcBorders>
            <w:vAlign w:val="top"/>
          </w:tcPr>
          <w:p w14:paraId="08DD3268">
            <w:pPr>
              <w:pStyle w:val="6"/>
              <w:spacing w:before="263" w:line="228" w:lineRule="auto"/>
              <w:ind w:left="518"/>
            </w:pPr>
            <w:r>
              <w:rPr>
                <w:spacing w:val="7"/>
              </w:rPr>
              <w:t>技术专家</w:t>
            </w:r>
          </w:p>
          <w:p w14:paraId="1D7CFC9B">
            <w:pPr>
              <w:pStyle w:val="6"/>
              <w:spacing w:before="64" w:line="228" w:lineRule="auto"/>
              <w:ind w:left="205"/>
            </w:pPr>
            <w:r>
              <w:rPr>
                <w:spacing w:val="8"/>
              </w:rPr>
              <w:t>或有关技术人员</w:t>
            </w:r>
          </w:p>
        </w:tc>
        <w:tc>
          <w:tcPr>
            <w:tcW w:w="5163" w:type="dxa"/>
            <w:gridSpan w:val="2"/>
            <w:vAlign w:val="top"/>
          </w:tcPr>
          <w:p w14:paraId="72075C6B">
            <w:pPr>
              <w:rPr>
                <w:rFonts w:ascii="Arial"/>
                <w:sz w:val="21"/>
              </w:rPr>
            </w:pPr>
          </w:p>
        </w:tc>
        <w:tc>
          <w:tcPr>
            <w:tcW w:w="1928" w:type="dxa"/>
            <w:vAlign w:val="top"/>
          </w:tcPr>
          <w:p w14:paraId="6A20BCC0">
            <w:pPr>
              <w:rPr>
                <w:rFonts w:ascii="Arial"/>
                <w:sz w:val="21"/>
              </w:rPr>
            </w:pPr>
          </w:p>
        </w:tc>
      </w:tr>
      <w:tr w14:paraId="0F58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bottom w:val="nil"/>
            </w:tcBorders>
            <w:vAlign w:val="top"/>
          </w:tcPr>
          <w:p w14:paraId="67789B26">
            <w:pPr>
              <w:rPr>
                <w:rFonts w:ascii="Arial"/>
                <w:sz w:val="21"/>
              </w:rPr>
            </w:pPr>
          </w:p>
        </w:tc>
        <w:tc>
          <w:tcPr>
            <w:tcW w:w="5163" w:type="dxa"/>
            <w:gridSpan w:val="2"/>
            <w:vAlign w:val="top"/>
          </w:tcPr>
          <w:p w14:paraId="68F253BF">
            <w:pPr>
              <w:rPr>
                <w:rFonts w:ascii="Arial"/>
                <w:sz w:val="21"/>
              </w:rPr>
            </w:pPr>
          </w:p>
        </w:tc>
        <w:tc>
          <w:tcPr>
            <w:tcW w:w="1928" w:type="dxa"/>
            <w:vAlign w:val="top"/>
          </w:tcPr>
          <w:p w14:paraId="776B5F62">
            <w:pPr>
              <w:rPr>
                <w:rFonts w:ascii="Arial"/>
                <w:sz w:val="21"/>
              </w:rPr>
            </w:pPr>
          </w:p>
        </w:tc>
      </w:tr>
      <w:tr w14:paraId="4BCA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tcBorders>
            <w:vAlign w:val="top"/>
          </w:tcPr>
          <w:p w14:paraId="5CF8F96C">
            <w:pPr>
              <w:rPr>
                <w:rFonts w:ascii="Arial"/>
                <w:sz w:val="21"/>
              </w:rPr>
            </w:pPr>
          </w:p>
        </w:tc>
        <w:tc>
          <w:tcPr>
            <w:tcW w:w="5163" w:type="dxa"/>
            <w:gridSpan w:val="2"/>
            <w:vAlign w:val="top"/>
          </w:tcPr>
          <w:p w14:paraId="19C4C330">
            <w:pPr>
              <w:rPr>
                <w:rFonts w:ascii="Arial"/>
                <w:sz w:val="21"/>
              </w:rPr>
            </w:pPr>
          </w:p>
        </w:tc>
        <w:tc>
          <w:tcPr>
            <w:tcW w:w="1928" w:type="dxa"/>
            <w:vAlign w:val="top"/>
          </w:tcPr>
          <w:p w14:paraId="58039929">
            <w:pPr>
              <w:rPr>
                <w:rFonts w:ascii="Arial"/>
                <w:sz w:val="21"/>
              </w:rPr>
            </w:pPr>
          </w:p>
        </w:tc>
      </w:tr>
      <w:tr w14:paraId="5638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center"/>
          </w:tcPr>
          <w:p w14:paraId="5E6B1A3C">
            <w:pPr>
              <w:pStyle w:val="6"/>
              <w:spacing w:before="65" w:line="273" w:lineRule="auto"/>
              <w:ind w:left="199" w:leftChars="95" w:right="194" w:firstLine="0" w:firstLineChars="0"/>
              <w:jc w:val="both"/>
            </w:pPr>
            <w:r>
              <w:rPr>
                <w:spacing w:val="7"/>
              </w:rPr>
              <w:t>到现场开展安全</w:t>
            </w:r>
            <w:r>
              <w:rPr>
                <w:spacing w:val="8"/>
              </w:rPr>
              <w:t>评价工作情况</w:t>
            </w:r>
          </w:p>
        </w:tc>
        <w:tc>
          <w:tcPr>
            <w:tcW w:w="1662" w:type="dxa"/>
            <w:vAlign w:val="top"/>
          </w:tcPr>
          <w:p w14:paraId="7F79C387">
            <w:pPr>
              <w:pStyle w:val="6"/>
              <w:spacing w:before="95" w:line="230" w:lineRule="auto"/>
              <w:ind w:left="531"/>
            </w:pPr>
            <w:r>
              <w:rPr>
                <w:spacing w:val="-5"/>
              </w:rPr>
              <w:t>时</w:t>
            </w:r>
            <w:r>
              <w:rPr>
                <w:spacing w:val="17"/>
              </w:rPr>
              <w:t xml:space="preserve">  </w:t>
            </w:r>
            <w:r>
              <w:rPr>
                <w:spacing w:val="-5"/>
              </w:rPr>
              <w:t>间</w:t>
            </w:r>
          </w:p>
        </w:tc>
        <w:tc>
          <w:tcPr>
            <w:tcW w:w="3501" w:type="dxa"/>
            <w:vAlign w:val="top"/>
          </w:tcPr>
          <w:p w14:paraId="483CCCD0">
            <w:pPr>
              <w:pStyle w:val="6"/>
              <w:spacing w:before="96" w:line="228" w:lineRule="auto"/>
              <w:ind w:left="1027"/>
            </w:pPr>
            <w:r>
              <w:rPr>
                <w:spacing w:val="7"/>
              </w:rPr>
              <w:t>到现场主要人员</w:t>
            </w:r>
          </w:p>
        </w:tc>
        <w:tc>
          <w:tcPr>
            <w:tcW w:w="1928" w:type="dxa"/>
            <w:vAlign w:val="top"/>
          </w:tcPr>
          <w:p w14:paraId="5D4B95EA">
            <w:pPr>
              <w:pStyle w:val="6"/>
              <w:spacing w:before="95" w:line="228" w:lineRule="auto"/>
              <w:ind w:left="551"/>
            </w:pPr>
            <w:r>
              <w:rPr>
                <w:spacing w:val="6"/>
              </w:rPr>
              <w:t>主要任务</w:t>
            </w:r>
          </w:p>
        </w:tc>
      </w:tr>
      <w:tr w14:paraId="5D5E9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63" w:type="dxa"/>
            <w:gridSpan w:val="2"/>
            <w:vMerge w:val="continue"/>
            <w:tcBorders>
              <w:top w:val="nil"/>
              <w:bottom w:val="nil"/>
            </w:tcBorders>
            <w:vAlign w:val="top"/>
          </w:tcPr>
          <w:p w14:paraId="29ED0F8C">
            <w:pPr>
              <w:rPr>
                <w:rFonts w:ascii="Arial"/>
                <w:sz w:val="21"/>
              </w:rPr>
            </w:pPr>
          </w:p>
        </w:tc>
        <w:tc>
          <w:tcPr>
            <w:tcW w:w="1662" w:type="dxa"/>
            <w:vAlign w:val="top"/>
          </w:tcPr>
          <w:p w14:paraId="16F22D48">
            <w:pPr>
              <w:spacing w:before="166"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3.12.25</w:t>
            </w:r>
          </w:p>
        </w:tc>
        <w:tc>
          <w:tcPr>
            <w:tcW w:w="3501" w:type="dxa"/>
            <w:vAlign w:val="top"/>
          </w:tcPr>
          <w:p w14:paraId="4B9D466E">
            <w:pPr>
              <w:pStyle w:val="6"/>
              <w:spacing w:before="130" w:line="227" w:lineRule="auto"/>
              <w:ind w:left="121"/>
            </w:pPr>
            <w:r>
              <w:rPr>
                <w:spacing w:val="4"/>
              </w:rPr>
              <w:t>马琳琳</w:t>
            </w:r>
            <w:r>
              <w:rPr>
                <w:spacing w:val="11"/>
              </w:rPr>
              <w:t xml:space="preserve">  </w:t>
            </w:r>
            <w:r>
              <w:rPr>
                <w:spacing w:val="4"/>
              </w:rPr>
              <w:t>王静</w:t>
            </w:r>
          </w:p>
        </w:tc>
        <w:tc>
          <w:tcPr>
            <w:tcW w:w="1928" w:type="dxa"/>
            <w:vAlign w:val="top"/>
          </w:tcPr>
          <w:p w14:paraId="7D020708">
            <w:pPr>
              <w:pStyle w:val="6"/>
              <w:spacing w:before="131" w:line="228" w:lineRule="auto"/>
              <w:ind w:left="757"/>
            </w:pPr>
            <w:r>
              <w:rPr>
                <w:spacing w:val="5"/>
              </w:rPr>
              <w:t>初访</w:t>
            </w:r>
          </w:p>
        </w:tc>
      </w:tr>
      <w:tr w14:paraId="4C13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4740BB20">
            <w:pPr>
              <w:rPr>
                <w:rFonts w:ascii="Arial"/>
                <w:sz w:val="21"/>
              </w:rPr>
            </w:pPr>
          </w:p>
        </w:tc>
        <w:tc>
          <w:tcPr>
            <w:tcW w:w="1662" w:type="dxa"/>
            <w:vAlign w:val="top"/>
          </w:tcPr>
          <w:p w14:paraId="026CA10C">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11.4</w:t>
            </w:r>
          </w:p>
        </w:tc>
        <w:tc>
          <w:tcPr>
            <w:tcW w:w="3501" w:type="dxa"/>
            <w:vAlign w:val="top"/>
          </w:tcPr>
          <w:p w14:paraId="17887980">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4B38081B">
            <w:pPr>
              <w:pStyle w:val="6"/>
              <w:spacing w:before="131" w:line="228" w:lineRule="auto"/>
              <w:ind w:left="551"/>
            </w:pPr>
            <w:r>
              <w:rPr>
                <w:spacing w:val="6"/>
              </w:rPr>
              <w:t>现场考察</w:t>
            </w:r>
          </w:p>
        </w:tc>
      </w:tr>
      <w:tr w14:paraId="335F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152518A9">
            <w:pPr>
              <w:rPr>
                <w:rFonts w:ascii="Arial"/>
                <w:sz w:val="21"/>
              </w:rPr>
            </w:pPr>
          </w:p>
        </w:tc>
        <w:tc>
          <w:tcPr>
            <w:tcW w:w="1662" w:type="dxa"/>
            <w:vAlign w:val="top"/>
          </w:tcPr>
          <w:p w14:paraId="47C492BB">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4.11.15</w:t>
            </w:r>
          </w:p>
        </w:tc>
        <w:tc>
          <w:tcPr>
            <w:tcW w:w="3501" w:type="dxa"/>
            <w:vAlign w:val="top"/>
          </w:tcPr>
          <w:p w14:paraId="305B2291">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5BA9CFF0">
            <w:pPr>
              <w:pStyle w:val="6"/>
              <w:spacing w:before="130" w:line="228" w:lineRule="auto"/>
              <w:ind w:left="551"/>
            </w:pPr>
            <w:r>
              <w:rPr>
                <w:spacing w:val="6"/>
              </w:rPr>
              <w:t>现场检查</w:t>
            </w:r>
          </w:p>
        </w:tc>
      </w:tr>
      <w:tr w14:paraId="35F6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863" w:type="dxa"/>
            <w:gridSpan w:val="2"/>
            <w:vMerge w:val="continue"/>
            <w:tcBorders>
              <w:top w:val="nil"/>
            </w:tcBorders>
            <w:vAlign w:val="top"/>
          </w:tcPr>
          <w:p w14:paraId="6A21231B">
            <w:pPr>
              <w:rPr>
                <w:rFonts w:ascii="Arial"/>
                <w:sz w:val="21"/>
              </w:rPr>
            </w:pPr>
          </w:p>
        </w:tc>
        <w:tc>
          <w:tcPr>
            <w:tcW w:w="1662" w:type="dxa"/>
            <w:vAlign w:val="top"/>
          </w:tcPr>
          <w:p w14:paraId="199E1799">
            <w:pPr>
              <w:rPr>
                <w:rFonts w:ascii="Arial"/>
                <w:sz w:val="21"/>
              </w:rPr>
            </w:pPr>
          </w:p>
        </w:tc>
        <w:tc>
          <w:tcPr>
            <w:tcW w:w="3501" w:type="dxa"/>
            <w:vAlign w:val="top"/>
          </w:tcPr>
          <w:p w14:paraId="58B293B0">
            <w:pPr>
              <w:rPr>
                <w:rFonts w:ascii="Arial"/>
                <w:sz w:val="21"/>
              </w:rPr>
            </w:pPr>
          </w:p>
        </w:tc>
        <w:tc>
          <w:tcPr>
            <w:tcW w:w="1928" w:type="dxa"/>
            <w:vAlign w:val="top"/>
          </w:tcPr>
          <w:p w14:paraId="257CB512">
            <w:pPr>
              <w:rPr>
                <w:rFonts w:ascii="Arial"/>
                <w:sz w:val="21"/>
              </w:rPr>
            </w:pPr>
          </w:p>
        </w:tc>
      </w:tr>
      <w:tr w14:paraId="3C680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54" w:type="dxa"/>
            <w:gridSpan w:val="5"/>
            <w:vAlign w:val="top"/>
          </w:tcPr>
          <w:p w14:paraId="1353F34E">
            <w:pPr>
              <w:pStyle w:val="6"/>
              <w:spacing w:before="98" w:line="226" w:lineRule="auto"/>
              <w:ind w:left="120"/>
              <w:rPr>
                <w:rFonts w:hint="default" w:ascii="Times New Roman" w:hAnsi="Times New Roman" w:eastAsia="宋体" w:cs="Times New Roman"/>
                <w:lang w:val="en-US" w:eastAsia="zh-CN"/>
              </w:rPr>
            </w:pPr>
            <w:r>
              <w:rPr>
                <w:spacing w:val="6"/>
              </w:rPr>
              <w:t>安全评价报告提交时间：</w:t>
            </w:r>
            <w:r>
              <w:rPr>
                <w:rFonts w:ascii="Times New Roman" w:hAnsi="Times New Roman" w:eastAsia="Times New Roman" w:cs="Times New Roman"/>
                <w:spacing w:val="6"/>
              </w:rPr>
              <w:t>2024.</w:t>
            </w:r>
            <w:r>
              <w:rPr>
                <w:rFonts w:hint="eastAsia" w:ascii="Times New Roman" w:hAnsi="Times New Roman" w:eastAsia="宋体" w:cs="Times New Roman"/>
                <w:spacing w:val="6"/>
                <w:lang w:val="en-US" w:eastAsia="zh-CN"/>
              </w:rPr>
              <w:t>11.20</w:t>
            </w:r>
          </w:p>
        </w:tc>
      </w:tr>
      <w:tr w14:paraId="76B2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954" w:type="dxa"/>
            <w:gridSpan w:val="5"/>
            <w:vAlign w:val="top"/>
          </w:tcPr>
          <w:p w14:paraId="282F6E8D">
            <w:pPr>
              <w:pStyle w:val="6"/>
              <w:spacing w:before="111" w:line="228" w:lineRule="auto"/>
              <w:ind w:left="117"/>
            </w:pPr>
            <w:r>
              <w:rPr>
                <w:spacing w:val="8"/>
              </w:rPr>
              <w:t>有必要公开的其它内容：</w:t>
            </w:r>
          </w:p>
        </w:tc>
      </w:tr>
    </w:tbl>
    <w:p w14:paraId="059A2321">
      <w:pPr>
        <w:pStyle w:val="2"/>
        <w:ind w:left="0" w:leftChars="0" w:firstLine="0" w:firstLineChars="0"/>
        <w:rPr>
          <w:rFonts w:hint="default" w:eastAsia="宋体"/>
          <w:lang w:val="en-US" w:eastAsia="zh-CN"/>
        </w:rPr>
      </w:pPr>
    </w:p>
    <w:p w14:paraId="2CDE0619">
      <w:pPr>
        <w:pStyle w:val="2"/>
        <w:ind w:left="0" w:leftChars="0" w:firstLine="0" w:firstLineChars="0"/>
        <w:rPr>
          <w:rFonts w:hint="eastAsia" w:eastAsia="宋体"/>
          <w:lang w:eastAsia="zh-CN"/>
        </w:rPr>
      </w:pPr>
    </w:p>
    <w:p w14:paraId="7D5A2701">
      <w:pPr>
        <w:pStyle w:val="2"/>
        <w:rPr>
          <w:rFonts w:hint="eastAsia" w:eastAsia="宋体"/>
          <w:lang w:eastAsia="zh-CN"/>
        </w:rPr>
      </w:pPr>
    </w:p>
    <w:p w14:paraId="36099316">
      <w:pPr>
        <w:pStyle w:val="2"/>
        <w:rPr>
          <w:rFonts w:hint="eastAsia" w:eastAsia="宋体"/>
          <w:lang w:eastAsia="zh-CN"/>
        </w:rPr>
      </w:pPr>
    </w:p>
    <w:p w14:paraId="472F9B23">
      <w:pPr>
        <w:pStyle w:val="2"/>
        <w:ind w:left="0" w:leftChars="0" w:firstLine="0" w:firstLineChars="0"/>
        <w:rPr>
          <w:rFonts w:hint="eastAsia" w:eastAsia="宋体"/>
          <w:lang w:eastAsia="zh-CN"/>
        </w:rPr>
      </w:pPr>
      <w:bookmarkStart w:id="63" w:name="_GoBack"/>
      <w:r>
        <w:rPr>
          <w:rFonts w:hint="eastAsia" w:eastAsia="宋体"/>
          <w:lang w:eastAsia="zh-CN"/>
        </w:rPr>
        <w:drawing>
          <wp:inline distT="0" distB="0" distL="114300" distR="114300">
            <wp:extent cx="5932805" cy="7913370"/>
            <wp:effectExtent l="0" t="0" r="10795" b="11430"/>
            <wp:docPr id="1" name="图片 1" descr="36a2ceee4f1c2b46d5b2203b6d1f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a2ceee4f1c2b46d5b2203b6d1f969"/>
                    <pic:cNvPicPr>
                      <a:picLocks noChangeAspect="1"/>
                    </pic:cNvPicPr>
                  </pic:nvPicPr>
                  <pic:blipFill>
                    <a:blip r:embed="rId6"/>
                    <a:stretch>
                      <a:fillRect/>
                    </a:stretch>
                  </pic:blipFill>
                  <pic:spPr>
                    <a:xfrm>
                      <a:off x="0" y="0"/>
                      <a:ext cx="5932805" cy="7913370"/>
                    </a:xfrm>
                    <a:prstGeom prst="rect">
                      <a:avLst/>
                    </a:prstGeom>
                  </pic:spPr>
                </pic:pic>
              </a:graphicData>
            </a:graphic>
          </wp:inline>
        </w:drawing>
      </w:r>
      <w:bookmarkEnd w:id="63"/>
    </w:p>
    <w:p w14:paraId="008CC86F">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932805" cy="7913370"/>
            <wp:effectExtent l="0" t="0" r="10795" b="11430"/>
            <wp:docPr id="2" name="图片 2" descr="de86ded91dd2c6402fd9499ea8c7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86ded91dd2c6402fd9499ea8c7e50"/>
                    <pic:cNvPicPr>
                      <a:picLocks noChangeAspect="1"/>
                    </pic:cNvPicPr>
                  </pic:nvPicPr>
                  <pic:blipFill>
                    <a:blip r:embed="rId7"/>
                    <a:stretch>
                      <a:fillRect/>
                    </a:stretch>
                  </pic:blipFill>
                  <pic:spPr>
                    <a:xfrm>
                      <a:off x="0" y="0"/>
                      <a:ext cx="5932805" cy="7913370"/>
                    </a:xfrm>
                    <a:prstGeom prst="rect">
                      <a:avLst/>
                    </a:prstGeom>
                  </pic:spPr>
                </pic:pic>
              </a:graphicData>
            </a:graphic>
          </wp:inline>
        </w:drawing>
      </w:r>
    </w:p>
    <w:p w14:paraId="5C70A39A">
      <w:pPr>
        <w:pStyle w:val="2"/>
        <w:ind w:left="0" w:leftChars="0" w:firstLine="0" w:firstLineChars="0"/>
        <w:rPr>
          <w:rFonts w:hint="eastAsia" w:eastAsia="宋体"/>
          <w:lang w:eastAsia="zh-CN"/>
        </w:rPr>
      </w:pPr>
    </w:p>
    <w:p w14:paraId="47877E0B">
      <w:pPr>
        <w:pStyle w:val="2"/>
        <w:ind w:left="0" w:leftChars="0" w:firstLine="0" w:firstLineChars="0"/>
        <w:rPr>
          <w:rFonts w:hint="eastAsia" w:eastAsia="宋体"/>
          <w:lang w:eastAsia="zh-CN"/>
        </w:rPr>
      </w:pPr>
    </w:p>
    <w:p w14:paraId="6F74A0EC">
      <w:pPr>
        <w:pStyle w:val="2"/>
        <w:ind w:left="0" w:leftChars="0" w:firstLine="0" w:firstLineChars="0"/>
        <w:rPr>
          <w:rFonts w:hint="eastAsia" w:eastAsia="宋体"/>
          <w:lang w:eastAsia="zh-CN"/>
        </w:rPr>
      </w:pPr>
    </w:p>
    <w:p w14:paraId="0B90C6FC">
      <w:pPr>
        <w:pStyle w:val="2"/>
        <w:ind w:left="0" w:leftChars="0" w:firstLine="0" w:firstLineChars="0"/>
        <w:rPr>
          <w:rFonts w:hint="eastAsia" w:eastAsia="宋体"/>
          <w:lang w:eastAsia="zh-CN"/>
        </w:rPr>
      </w:pPr>
    </w:p>
    <w:p w14:paraId="5676C1D4">
      <w:pPr>
        <w:pStyle w:val="2"/>
        <w:ind w:left="0" w:leftChars="0" w:firstLine="0" w:firstLineChars="0"/>
        <w:rPr>
          <w:rFonts w:hint="eastAsia" w:eastAsia="宋体"/>
          <w:lang w:eastAsia="zh-CN"/>
        </w:rPr>
      </w:pPr>
    </w:p>
    <w:p w14:paraId="20FCB83E">
      <w:pPr>
        <w:pStyle w:val="2"/>
        <w:ind w:left="0" w:leftChars="0" w:firstLine="0" w:firstLineChars="0"/>
        <w:rPr>
          <w:rFonts w:hint="eastAsia" w:eastAsia="宋体"/>
          <w:lang w:eastAsia="zh-CN"/>
        </w:rPr>
      </w:pPr>
    </w:p>
    <w:p w14:paraId="3DAEC849">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932805" cy="7913370"/>
            <wp:effectExtent l="0" t="0" r="10795" b="11430"/>
            <wp:docPr id="3" name="图片 3" descr="f45ae7c686288931c7b7f4da9d2d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5ae7c686288931c7b7f4da9d2d264"/>
                    <pic:cNvPicPr>
                      <a:picLocks noChangeAspect="1"/>
                    </pic:cNvPicPr>
                  </pic:nvPicPr>
                  <pic:blipFill>
                    <a:blip r:embed="rId8"/>
                    <a:stretch>
                      <a:fillRect/>
                    </a:stretch>
                  </pic:blipFill>
                  <pic:spPr>
                    <a:xfrm>
                      <a:off x="0" y="0"/>
                      <a:ext cx="5932805" cy="7913370"/>
                    </a:xfrm>
                    <a:prstGeom prst="rect">
                      <a:avLst/>
                    </a:prstGeom>
                  </pic:spPr>
                </pic:pic>
              </a:graphicData>
            </a:graphic>
          </wp:inline>
        </w:drawing>
      </w:r>
    </w:p>
    <w:p w14:paraId="28246EF6">
      <w:pPr>
        <w:pStyle w:val="2"/>
        <w:ind w:left="0" w:leftChars="0" w:firstLine="0" w:firstLineChars="0"/>
        <w:rPr>
          <w:rFonts w:hint="eastAsia" w:eastAsia="宋体"/>
          <w:lang w:eastAsia="zh-CN"/>
        </w:rPr>
      </w:pPr>
    </w:p>
    <w:p w14:paraId="23D6C48E">
      <w:pPr>
        <w:pStyle w:val="2"/>
        <w:ind w:left="0" w:leftChars="0" w:firstLine="0" w:firstLineChars="0"/>
        <w:rPr>
          <w:rFonts w:hint="eastAsia" w:eastAsia="宋体"/>
          <w:lang w:eastAsia="zh-CN"/>
        </w:rPr>
      </w:pPr>
    </w:p>
    <w:p w14:paraId="34CDEE85">
      <w:pPr>
        <w:pStyle w:val="2"/>
        <w:ind w:left="0" w:leftChars="0" w:firstLine="0" w:firstLineChars="0"/>
        <w:rPr>
          <w:rFonts w:hint="eastAsia" w:eastAsia="宋体"/>
          <w:lang w:eastAsia="zh-CN"/>
        </w:rPr>
      </w:pPr>
    </w:p>
    <w:p w14:paraId="61E117D0">
      <w:pPr>
        <w:pStyle w:val="2"/>
        <w:ind w:left="0" w:leftChars="0" w:firstLine="0" w:firstLineChars="0"/>
        <w:rPr>
          <w:rFonts w:hint="eastAsia" w:eastAsia="宋体"/>
          <w:lang w:eastAsia="zh-CN"/>
        </w:rPr>
      </w:pPr>
    </w:p>
    <w:p w14:paraId="056DDC4B">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829300" cy="4371975"/>
            <wp:effectExtent l="0" t="0" r="0" b="9525"/>
            <wp:docPr id="4" name="图片 4" descr="IMG_20241115_11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115_114915"/>
                    <pic:cNvPicPr>
                      <a:picLocks noChangeAspect="1"/>
                    </pic:cNvPicPr>
                  </pic:nvPicPr>
                  <pic:blipFill>
                    <a:blip r:embed="rId9"/>
                    <a:stretch>
                      <a:fillRect/>
                    </a:stretch>
                  </pic:blipFill>
                  <pic:spPr>
                    <a:xfrm>
                      <a:off x="0" y="0"/>
                      <a:ext cx="5829300" cy="4371975"/>
                    </a:xfrm>
                    <a:prstGeom prst="rect">
                      <a:avLst/>
                    </a:prstGeom>
                  </pic:spPr>
                </pic:pic>
              </a:graphicData>
            </a:graphic>
          </wp:inline>
        </w:drawing>
      </w:r>
    </w:p>
    <w:p w14:paraId="0FEC57A3">
      <w:pPr>
        <w:pStyle w:val="2"/>
        <w:ind w:left="0" w:leftChars="0" w:firstLine="0" w:firstLineChars="0"/>
        <w:rPr>
          <w:rFonts w:hint="eastAsia" w:eastAsia="宋体"/>
          <w:lang w:eastAsia="zh-CN"/>
        </w:rPr>
      </w:pPr>
    </w:p>
    <w:p w14:paraId="74A35CDA">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866130" cy="4399915"/>
            <wp:effectExtent l="0" t="0" r="1270" b="6985"/>
            <wp:docPr id="5" name="图片 5" descr="IMG_20241115_11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115_114904"/>
                    <pic:cNvPicPr>
                      <a:picLocks noChangeAspect="1"/>
                    </pic:cNvPicPr>
                  </pic:nvPicPr>
                  <pic:blipFill>
                    <a:blip r:embed="rId10"/>
                    <a:stretch>
                      <a:fillRect/>
                    </a:stretch>
                  </pic:blipFill>
                  <pic:spPr>
                    <a:xfrm>
                      <a:off x="0" y="0"/>
                      <a:ext cx="5866130" cy="4399915"/>
                    </a:xfrm>
                    <a:prstGeom prst="rect">
                      <a:avLst/>
                    </a:prstGeom>
                  </pic:spPr>
                </pic:pic>
              </a:graphicData>
            </a:graphic>
          </wp:inline>
        </w:drawing>
      </w:r>
    </w:p>
    <w:p w14:paraId="5C9E3DD9">
      <w:pPr>
        <w:pStyle w:val="9"/>
        <w:widowControl w:val="0"/>
        <w:adjustRightInd w:val="0"/>
        <w:snapToGrid w:val="0"/>
        <w:spacing w:before="0" w:beforeLines="0" w:after="0" w:afterLines="0" w:line="360" w:lineRule="auto"/>
        <w:rPr>
          <w:color w:val="auto"/>
        </w:rPr>
      </w:pPr>
      <w:bookmarkStart w:id="0" w:name="_Toc102633895"/>
      <w:bookmarkStart w:id="1" w:name="_Toc102633969"/>
      <w:bookmarkStart w:id="2" w:name="_Toc15033742"/>
      <w:bookmarkStart w:id="3" w:name="_Toc102634395"/>
      <w:bookmarkStart w:id="4" w:name="_Toc102634226"/>
      <w:r>
        <w:rPr>
          <w:color w:val="auto"/>
        </w:rPr>
        <w:t>第二章 加油站概况</w:t>
      </w:r>
      <w:bookmarkEnd w:id="0"/>
      <w:bookmarkEnd w:id="1"/>
      <w:bookmarkEnd w:id="2"/>
      <w:bookmarkEnd w:id="3"/>
      <w:bookmarkEnd w:id="4"/>
    </w:p>
    <w:p w14:paraId="017A04D2">
      <w:pPr>
        <w:snapToGrid w:val="0"/>
        <w:spacing w:line="360" w:lineRule="auto"/>
        <w:jc w:val="center"/>
        <w:outlineLvl w:val="1"/>
        <w:rPr>
          <w:rFonts w:ascii="Calibri" w:hAnsi="Calibri" w:eastAsia="楷体_GB2312"/>
          <w:b/>
          <w:color w:val="auto"/>
          <w:kern w:val="0"/>
          <w:sz w:val="32"/>
          <w:szCs w:val="20"/>
        </w:rPr>
      </w:pPr>
      <w:bookmarkStart w:id="5" w:name="_Toc26504"/>
      <w:bookmarkStart w:id="6" w:name="_Toc102634396"/>
      <w:bookmarkStart w:id="7" w:name="_Toc208733856"/>
      <w:bookmarkStart w:id="8" w:name="_Toc102633970"/>
      <w:bookmarkStart w:id="9" w:name="_Toc102633896"/>
      <w:bookmarkStart w:id="10" w:name="_Toc102634227"/>
      <w:bookmarkStart w:id="11" w:name="_Toc272364524"/>
      <w:bookmarkStart w:id="12" w:name="_Toc30066"/>
      <w:bookmarkStart w:id="13" w:name="_Toc15033743"/>
      <w:r>
        <w:rPr>
          <w:rFonts w:ascii="Calibri" w:hAnsi="Calibri" w:eastAsia="楷体_GB2312"/>
          <w:b/>
          <w:color w:val="auto"/>
          <w:kern w:val="0"/>
          <w:sz w:val="32"/>
          <w:szCs w:val="20"/>
        </w:rPr>
        <w:t>第一节 加油站基本情况</w:t>
      </w:r>
      <w:bookmarkEnd w:id="5"/>
      <w:bookmarkEnd w:id="6"/>
      <w:bookmarkEnd w:id="7"/>
      <w:bookmarkEnd w:id="8"/>
      <w:bookmarkEnd w:id="9"/>
      <w:bookmarkEnd w:id="10"/>
      <w:bookmarkEnd w:id="11"/>
      <w:bookmarkEnd w:id="12"/>
      <w:bookmarkEnd w:id="13"/>
    </w:p>
    <w:p w14:paraId="432AE022">
      <w:pPr>
        <w:spacing w:line="360" w:lineRule="auto"/>
        <w:ind w:firstLine="560" w:firstLineChars="200"/>
        <w:rPr>
          <w:rFonts w:hint="default" w:ascii="Times New Roman" w:hAnsi="Times New Roman" w:cs="Times New Roman"/>
          <w:color w:val="auto"/>
          <w:sz w:val="28"/>
          <w:szCs w:val="28"/>
          <w:lang w:val="en-US" w:eastAsia="zh-CN"/>
        </w:rPr>
      </w:pPr>
      <w:r>
        <w:rPr>
          <w:rFonts w:hint="eastAsia" w:ascii="宋体" w:hAnsi="宋体" w:cs="宋体"/>
          <w:sz w:val="28"/>
          <w:szCs w:val="28"/>
          <w:lang w:eastAsia="zh-CN"/>
        </w:rPr>
        <w:t>中国石化山东泰山石油股份有限公司</w:t>
      </w:r>
      <w:r>
        <w:rPr>
          <w:rFonts w:hint="eastAsia" w:cs="Times New Roman"/>
          <w:snapToGrid w:val="0"/>
          <w:color w:val="auto"/>
          <w:kern w:val="0"/>
          <w:sz w:val="28"/>
          <w:szCs w:val="28"/>
          <w:lang w:val="en-US" w:eastAsia="zh-CN"/>
        </w:rPr>
        <w:t>宁阳</w:t>
      </w:r>
      <w:r>
        <w:rPr>
          <w:rFonts w:hint="eastAsia" w:ascii="Times New Roman" w:hAnsi="Times New Roman" w:cs="Times New Roman"/>
          <w:snapToGrid w:val="0"/>
          <w:color w:val="auto"/>
          <w:kern w:val="0"/>
          <w:sz w:val="28"/>
          <w:szCs w:val="28"/>
          <w:lang w:eastAsia="zh-CN"/>
        </w:rPr>
        <w:t>第十七加油</w:t>
      </w:r>
      <w:r>
        <w:rPr>
          <w:rFonts w:hint="eastAsia" w:cs="Times New Roman"/>
          <w:snapToGrid w:val="0"/>
          <w:color w:val="auto"/>
          <w:kern w:val="0"/>
          <w:sz w:val="28"/>
          <w:szCs w:val="28"/>
          <w:lang w:val="en-US" w:eastAsia="zh-CN"/>
        </w:rPr>
        <w:t>加气</w:t>
      </w:r>
      <w:r>
        <w:rPr>
          <w:rFonts w:hint="eastAsia" w:ascii="Times New Roman" w:hAnsi="Times New Roman" w:cs="Times New Roman"/>
          <w:snapToGrid w:val="0"/>
          <w:color w:val="auto"/>
          <w:kern w:val="0"/>
          <w:sz w:val="28"/>
          <w:szCs w:val="28"/>
          <w:lang w:eastAsia="zh-CN"/>
        </w:rPr>
        <w:t>站</w:t>
      </w:r>
      <w:r>
        <w:rPr>
          <w:rFonts w:hint="eastAsia" w:ascii="宋体" w:hAnsi="宋体"/>
          <w:sz w:val="28"/>
          <w:szCs w:val="28"/>
        </w:rPr>
        <w:t>位于</w:t>
      </w:r>
      <w:r>
        <w:rPr>
          <w:rFonts w:hint="eastAsia" w:ascii="宋体" w:hAnsi="宋体"/>
          <w:sz w:val="28"/>
          <w:szCs w:val="28"/>
          <w:lang w:val="en-US" w:eastAsia="zh-CN"/>
        </w:rPr>
        <w:t>宁阳县建设路与南外环交汇口东300米路南</w:t>
      </w:r>
      <w:r>
        <w:rPr>
          <w:rFonts w:hint="eastAsia" w:ascii="宋体" w:hAnsi="宋体"/>
          <w:sz w:val="28"/>
          <w:szCs w:val="28"/>
        </w:rPr>
        <w:t>，</w:t>
      </w:r>
      <w:r>
        <w:rPr>
          <w:rFonts w:hint="eastAsia" w:ascii="宋体" w:hAnsi="宋体"/>
          <w:color w:val="000000" w:themeColor="text1"/>
          <w:sz w:val="28"/>
          <w:szCs w:val="28"/>
          <w14:textFill>
            <w14:solidFill>
              <w14:schemeClr w14:val="tx1"/>
            </w14:solidFill>
          </w14:textFill>
        </w:rPr>
        <w:t>加油站西侧是</w:t>
      </w:r>
      <w:r>
        <w:rPr>
          <w:rFonts w:hint="eastAsia" w:ascii="宋体" w:hAnsi="宋体"/>
          <w:color w:val="000000" w:themeColor="text1"/>
          <w:sz w:val="28"/>
          <w:szCs w:val="28"/>
          <w:lang w:val="en-US" w:eastAsia="zh-CN"/>
          <w14:textFill>
            <w14:solidFill>
              <w14:schemeClr w14:val="tx1"/>
            </w14:solidFill>
          </w14:textFill>
        </w:rPr>
        <w:t>空地</w:t>
      </w:r>
      <w:r>
        <w:rPr>
          <w:rFonts w:hint="eastAsia" w:ascii="宋体" w:hAnsi="宋体"/>
          <w:color w:val="000000" w:themeColor="text1"/>
          <w:sz w:val="28"/>
          <w:szCs w:val="28"/>
          <w14:textFill>
            <w14:solidFill>
              <w14:schemeClr w14:val="tx1"/>
            </w14:solidFill>
          </w14:textFill>
        </w:rPr>
        <w:t>，南侧是</w:t>
      </w:r>
      <w:r>
        <w:rPr>
          <w:rFonts w:hint="eastAsia" w:ascii="宋体" w:hAnsi="宋体"/>
          <w:color w:val="000000" w:themeColor="text1"/>
          <w:sz w:val="28"/>
          <w:szCs w:val="28"/>
          <w:lang w:val="en-US" w:eastAsia="zh-CN"/>
          <w14:textFill>
            <w14:solidFill>
              <w14:schemeClr w14:val="tx1"/>
            </w14:solidFill>
          </w14:textFill>
        </w:rPr>
        <w:t>空地</w:t>
      </w:r>
      <w:r>
        <w:rPr>
          <w:rFonts w:hint="eastAsia" w:ascii="宋体" w:hAnsi="宋体"/>
          <w:color w:val="000000" w:themeColor="text1"/>
          <w:sz w:val="28"/>
          <w:szCs w:val="28"/>
          <w14:textFill>
            <w14:solidFill>
              <w14:schemeClr w14:val="tx1"/>
            </w14:solidFill>
          </w14:textFill>
        </w:rPr>
        <w:t>，东侧是</w:t>
      </w:r>
      <w:r>
        <w:rPr>
          <w:rFonts w:hint="eastAsia" w:ascii="宋体" w:hAnsi="宋体"/>
          <w:color w:val="000000" w:themeColor="text1"/>
          <w:sz w:val="28"/>
          <w:szCs w:val="28"/>
          <w:lang w:val="en-US" w:eastAsia="zh-CN"/>
          <w14:textFill>
            <w14:solidFill>
              <w14:schemeClr w14:val="tx1"/>
            </w14:solidFill>
          </w14:textFill>
        </w:rPr>
        <w:t>居民楼、空地</w:t>
      </w:r>
      <w:r>
        <w:rPr>
          <w:rFonts w:hint="eastAsia" w:ascii="宋体" w:hAnsi="宋体"/>
          <w:color w:val="000000" w:themeColor="text1"/>
          <w:sz w:val="28"/>
          <w:szCs w:val="28"/>
          <w14:textFill>
            <w14:solidFill>
              <w14:schemeClr w14:val="tx1"/>
            </w14:solidFill>
          </w14:textFill>
        </w:rPr>
        <w:t>，北侧</w:t>
      </w:r>
      <w:r>
        <w:rPr>
          <w:rFonts w:hint="eastAsia" w:ascii="宋体" w:hAnsi="宋体"/>
          <w:color w:val="000000" w:themeColor="text1"/>
          <w:sz w:val="28"/>
          <w:szCs w:val="28"/>
          <w:lang w:val="en-US" w:eastAsia="zh-CN"/>
          <w14:textFill>
            <w14:solidFill>
              <w14:schemeClr w14:val="tx1"/>
            </w14:solidFill>
          </w14:textFill>
        </w:rPr>
        <w:t>是架空电力线、团结路（原名华阳大街）</w:t>
      </w:r>
      <w:r>
        <w:rPr>
          <w:rFonts w:hint="eastAsia" w:ascii="宋体" w:hAnsi="宋体"/>
          <w:color w:val="000000" w:themeColor="text1"/>
          <w:sz w:val="28"/>
          <w:szCs w:val="28"/>
          <w14:textFill>
            <w14:solidFill>
              <w14:schemeClr w14:val="tx1"/>
            </w14:solidFill>
          </w14:textFill>
        </w:rPr>
        <w:t>，</w:t>
      </w:r>
      <w:r>
        <w:rPr>
          <w:rFonts w:hint="eastAsia" w:ascii="宋体" w:hAnsi="宋体"/>
          <w:sz w:val="28"/>
          <w:szCs w:val="28"/>
        </w:rPr>
        <w:t>交通十分便利。</w:t>
      </w:r>
      <w:r>
        <w:rPr>
          <w:rFonts w:hint="eastAsia" w:ascii="宋体" w:hAnsi="宋体"/>
          <w:sz w:val="28"/>
          <w:szCs w:val="28"/>
          <w:lang w:val="en-US" w:eastAsia="zh-CN"/>
        </w:rPr>
        <w:t>该站</w:t>
      </w:r>
      <w:r>
        <w:rPr>
          <w:rFonts w:hint="eastAsia" w:ascii="宋体" w:hAnsi="宋体"/>
          <w:sz w:val="28"/>
          <w:szCs w:val="28"/>
        </w:rPr>
        <w:t>主要从事汽油、乙醇汽油、柴油（0#与-10#换季销售）的零售业务</w:t>
      </w:r>
      <w:r>
        <w:rPr>
          <w:rFonts w:hint="eastAsia" w:ascii="宋体" w:hAnsi="宋体"/>
          <w:sz w:val="28"/>
          <w:szCs w:val="28"/>
          <w:lang w:eastAsia="zh-CN"/>
        </w:rPr>
        <w:t>，</w:t>
      </w:r>
      <w:r>
        <w:rPr>
          <w:rFonts w:hint="eastAsia" w:ascii="宋体" w:hAnsi="宋体"/>
          <w:sz w:val="28"/>
          <w:szCs w:val="28"/>
          <w:lang w:val="en-US" w:eastAsia="zh-CN"/>
        </w:rPr>
        <w:t>现主要经营储存汽油、柴</w:t>
      </w:r>
      <w:r>
        <w:rPr>
          <w:rFonts w:hint="eastAsia" w:ascii="Times New Roman" w:hAnsi="Times New Roman" w:cs="Times New Roman"/>
          <w:color w:val="auto"/>
          <w:sz w:val="28"/>
          <w:szCs w:val="28"/>
          <w:lang w:val="en-US" w:eastAsia="zh-CN"/>
        </w:rPr>
        <w:t>油（0#与-10#换季销售），</w:t>
      </w:r>
      <w:r>
        <w:rPr>
          <w:rFonts w:hint="eastAsia" w:cs="Times New Roman"/>
          <w:color w:val="auto"/>
          <w:sz w:val="28"/>
          <w:szCs w:val="28"/>
          <w:lang w:val="en-US" w:eastAsia="zh-CN"/>
        </w:rPr>
        <w:t>暂</w:t>
      </w:r>
      <w:r>
        <w:rPr>
          <w:rFonts w:hint="eastAsia" w:ascii="Times New Roman" w:hAnsi="Times New Roman" w:cs="Times New Roman"/>
          <w:color w:val="auto"/>
          <w:sz w:val="28"/>
          <w:szCs w:val="28"/>
          <w:lang w:val="en-US" w:eastAsia="zh-CN"/>
        </w:rPr>
        <w:t>未经营储存乙醇汽油。</w:t>
      </w:r>
      <w:r>
        <w:rPr>
          <w:rFonts w:hint="default" w:ascii="Times New Roman" w:hAnsi="Times New Roman" w:cs="Times New Roman"/>
          <w:color w:val="auto"/>
          <w:sz w:val="28"/>
          <w:szCs w:val="28"/>
          <w:lang w:val="en-US" w:eastAsia="zh-CN"/>
        </w:rPr>
        <w:t>此次现状评价报告与三年前报告相比，该站周边环境未发生变化</w:t>
      </w:r>
      <w:r>
        <w:rPr>
          <w:rFonts w:hint="eastAsia" w:ascii="Times New Roman" w:hAnsi="Times New Roman" w:cs="Times New Roman"/>
          <w:color w:val="auto"/>
          <w:sz w:val="28"/>
          <w:szCs w:val="28"/>
          <w:lang w:val="en-US" w:eastAsia="zh-CN"/>
        </w:rPr>
        <w:t>，站内总平面布置中新增</w:t>
      </w:r>
      <w:r>
        <w:rPr>
          <w:rFonts w:hint="eastAsia" w:cs="Times New Roman"/>
          <w:color w:val="auto"/>
          <w:sz w:val="28"/>
          <w:szCs w:val="28"/>
          <w:lang w:val="en-US" w:eastAsia="zh-CN"/>
        </w:rPr>
        <w:t>5</w:t>
      </w:r>
      <w:r>
        <w:rPr>
          <w:rFonts w:hint="eastAsia" w:ascii="Times New Roman" w:hAnsi="Times New Roman" w:cs="Times New Roman"/>
          <w:color w:val="auto"/>
          <w:sz w:val="28"/>
          <w:szCs w:val="28"/>
          <w:lang w:val="en-US" w:eastAsia="zh-CN"/>
        </w:rPr>
        <w:t>台充电桩，1台充电桩专用箱变</w:t>
      </w:r>
      <w:r>
        <w:rPr>
          <w:rFonts w:hint="eastAsia" w:cs="Times New Roman"/>
          <w:color w:val="auto"/>
          <w:sz w:val="28"/>
          <w:szCs w:val="28"/>
          <w:lang w:val="en-US" w:eastAsia="zh-CN"/>
        </w:rPr>
        <w:t>，CNG加气子站已停用并拆除</w:t>
      </w:r>
      <w:r>
        <w:rPr>
          <w:rFonts w:hint="eastAsia" w:ascii="Times New Roman" w:hAnsi="Times New Roman" w:cs="Times New Roman"/>
          <w:color w:val="auto"/>
          <w:sz w:val="28"/>
          <w:szCs w:val="28"/>
          <w:lang w:val="en-US" w:eastAsia="zh-CN"/>
        </w:rPr>
        <w:t>。</w:t>
      </w:r>
    </w:p>
    <w:p w14:paraId="64955D0E">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该加油站主要建有站房、油罐区、加油区</w:t>
      </w:r>
      <w:r>
        <w:rPr>
          <w:rFonts w:hint="eastAsia" w:ascii="Times New Roman" w:hAnsi="Times New Roman" w:cs="Times New Roman"/>
          <w:color w:val="auto"/>
          <w:sz w:val="28"/>
          <w:szCs w:val="28"/>
          <w:lang w:val="en-US" w:eastAsia="zh-CN"/>
        </w:rPr>
        <w:t>、</w:t>
      </w:r>
      <w:r>
        <w:rPr>
          <w:rFonts w:hint="eastAsia" w:cs="Times New Roman"/>
          <w:color w:val="auto"/>
          <w:sz w:val="28"/>
          <w:szCs w:val="28"/>
          <w:lang w:val="en-US" w:eastAsia="zh-CN"/>
        </w:rPr>
        <w:t>充电区</w:t>
      </w:r>
      <w:r>
        <w:rPr>
          <w:rFonts w:hint="default" w:ascii="Times New Roman" w:hAnsi="Times New Roman" w:cs="Times New Roman"/>
          <w:color w:val="auto"/>
          <w:sz w:val="28"/>
          <w:szCs w:val="28"/>
        </w:rPr>
        <w:t>。加油区在站房</w:t>
      </w:r>
      <w:r>
        <w:rPr>
          <w:rFonts w:hint="eastAsia" w:cs="Times New Roman"/>
          <w:color w:val="auto"/>
          <w:sz w:val="28"/>
          <w:szCs w:val="28"/>
          <w:lang w:val="en-US" w:eastAsia="zh-CN"/>
        </w:rPr>
        <w:t>北</w:t>
      </w:r>
      <w:r>
        <w:rPr>
          <w:rFonts w:hint="default" w:ascii="Times New Roman" w:hAnsi="Times New Roman" w:cs="Times New Roman"/>
          <w:color w:val="auto"/>
          <w:sz w:val="28"/>
          <w:szCs w:val="28"/>
        </w:rPr>
        <w:t>侧，</w:t>
      </w:r>
      <w:r>
        <w:rPr>
          <w:rFonts w:hint="default" w:ascii="Times New Roman" w:hAnsi="Times New Roman" w:cs="Times New Roman"/>
          <w:color w:val="auto"/>
          <w:kern w:val="2"/>
          <w:sz w:val="28"/>
          <w:szCs w:val="28"/>
        </w:rPr>
        <w:t>现有</w:t>
      </w:r>
      <w:r>
        <w:rPr>
          <w:rFonts w:hint="eastAsia" w:cs="Times New Roman"/>
          <w:color w:val="auto"/>
          <w:kern w:val="2"/>
          <w:sz w:val="28"/>
          <w:szCs w:val="28"/>
          <w:lang w:val="en-US" w:eastAsia="zh-CN"/>
        </w:rPr>
        <w:t>4</w:t>
      </w:r>
      <w:r>
        <w:rPr>
          <w:rFonts w:hint="default" w:ascii="Times New Roman" w:hAnsi="Times New Roman" w:cs="Times New Roman"/>
          <w:color w:val="auto"/>
          <w:kern w:val="2"/>
          <w:sz w:val="28"/>
          <w:szCs w:val="28"/>
          <w:lang w:val="en-US" w:eastAsia="zh-CN"/>
        </w:rPr>
        <w:t>台</w:t>
      </w:r>
      <w:r>
        <w:rPr>
          <w:rFonts w:hint="default" w:ascii="Times New Roman" w:hAnsi="Times New Roman" w:cs="Times New Roman"/>
          <w:color w:val="auto"/>
          <w:kern w:val="2"/>
          <w:sz w:val="28"/>
          <w:szCs w:val="28"/>
        </w:rPr>
        <w:t>加油机</w:t>
      </w:r>
      <w:r>
        <w:rPr>
          <w:rFonts w:hint="default" w:ascii="Times New Roman" w:hAnsi="Times New Roman" w:cs="Times New Roman"/>
          <w:color w:val="auto"/>
          <w:kern w:val="2"/>
          <w:sz w:val="28"/>
          <w:szCs w:val="28"/>
          <w:lang w:eastAsia="zh-CN"/>
        </w:rPr>
        <w:t>（</w:t>
      </w:r>
      <w:r>
        <w:rPr>
          <w:rFonts w:hint="eastAsia" w:cs="Times New Roman"/>
          <w:color w:val="auto"/>
          <w:kern w:val="2"/>
          <w:sz w:val="28"/>
          <w:szCs w:val="28"/>
          <w:lang w:val="en-US" w:eastAsia="zh-CN"/>
        </w:rPr>
        <w:t>其中汽油加油机</w:t>
      </w:r>
      <w:r>
        <w:rPr>
          <w:rFonts w:hint="eastAsia" w:ascii="Times New Roman" w:hAnsi="Times New Roman" w:cs="Times New Roman"/>
          <w:color w:val="auto"/>
          <w:kern w:val="2"/>
          <w:sz w:val="28"/>
          <w:szCs w:val="28"/>
          <w:lang w:val="en-US" w:eastAsia="zh-CN"/>
        </w:rPr>
        <w:t>均</w:t>
      </w:r>
      <w:r>
        <w:rPr>
          <w:rFonts w:hint="default" w:ascii="Times New Roman" w:hAnsi="Times New Roman" w:cs="Times New Roman"/>
          <w:color w:val="auto"/>
          <w:kern w:val="2"/>
          <w:sz w:val="28"/>
          <w:szCs w:val="28"/>
          <w:lang w:val="en-US" w:eastAsia="zh-CN"/>
        </w:rPr>
        <w:t>为双枪</w:t>
      </w:r>
      <w:r>
        <w:rPr>
          <w:rFonts w:hint="eastAsia" w:cs="Times New Roman"/>
          <w:color w:val="auto"/>
          <w:kern w:val="2"/>
          <w:sz w:val="28"/>
          <w:szCs w:val="28"/>
          <w:lang w:val="en-US" w:eastAsia="zh-CN"/>
        </w:rPr>
        <w:t>双油品</w:t>
      </w:r>
      <w:r>
        <w:rPr>
          <w:rFonts w:hint="default" w:ascii="Times New Roman" w:hAnsi="Times New Roman" w:cs="Times New Roman"/>
          <w:color w:val="auto"/>
          <w:kern w:val="2"/>
          <w:sz w:val="28"/>
          <w:szCs w:val="28"/>
          <w:lang w:eastAsia="zh-CN"/>
        </w:rPr>
        <w:t>）</w:t>
      </w:r>
      <w:r>
        <w:rPr>
          <w:rFonts w:hint="default" w:ascii="Times New Roman" w:hAnsi="Times New Roman" w:cs="Times New Roman"/>
          <w:color w:val="auto"/>
          <w:kern w:val="2"/>
          <w:sz w:val="28"/>
          <w:szCs w:val="28"/>
        </w:rPr>
        <w:t>，均为</w:t>
      </w:r>
      <w:r>
        <w:rPr>
          <w:rFonts w:hint="default" w:ascii="Times New Roman" w:hAnsi="Times New Roman" w:cs="Times New Roman"/>
          <w:color w:val="auto"/>
          <w:kern w:val="2"/>
          <w:sz w:val="28"/>
          <w:szCs w:val="28"/>
          <w:lang w:val="en-US" w:eastAsia="zh-CN"/>
        </w:rPr>
        <w:t>自吸</w:t>
      </w:r>
      <w:r>
        <w:rPr>
          <w:rFonts w:hint="default" w:ascii="Times New Roman" w:hAnsi="Times New Roman" w:cs="Times New Roman"/>
          <w:color w:val="auto"/>
          <w:kern w:val="2"/>
          <w:sz w:val="28"/>
          <w:szCs w:val="28"/>
        </w:rPr>
        <w:t>式</w:t>
      </w:r>
      <w:r>
        <w:rPr>
          <w:rFonts w:hint="default" w:ascii="Times New Roman" w:hAnsi="Times New Roman" w:cs="Times New Roman"/>
          <w:color w:val="auto"/>
          <w:sz w:val="28"/>
          <w:szCs w:val="28"/>
        </w:rPr>
        <w:t>；</w:t>
      </w:r>
      <w:r>
        <w:rPr>
          <w:rFonts w:hint="eastAsia" w:cs="Times New Roman"/>
          <w:color w:val="auto"/>
          <w:sz w:val="28"/>
          <w:szCs w:val="28"/>
          <w:lang w:val="en-US" w:eastAsia="zh-CN"/>
        </w:rPr>
        <w:t>充电区在罐区西南侧，设有5台充电桩、1台充电桩专用箱变；</w:t>
      </w:r>
      <w:r>
        <w:rPr>
          <w:rFonts w:hint="default" w:ascii="Times New Roman" w:hAnsi="Times New Roman" w:cs="Times New Roman"/>
          <w:color w:val="auto"/>
          <w:sz w:val="28"/>
          <w:szCs w:val="28"/>
        </w:rPr>
        <w:t>油罐区在站房</w:t>
      </w:r>
      <w:r>
        <w:rPr>
          <w:rFonts w:hint="eastAsia" w:cs="Times New Roman"/>
          <w:color w:val="auto"/>
          <w:sz w:val="28"/>
          <w:szCs w:val="28"/>
          <w:lang w:val="en-US" w:eastAsia="zh-CN"/>
        </w:rPr>
        <w:t>南</w:t>
      </w:r>
      <w:r>
        <w:rPr>
          <w:rFonts w:hint="default" w:ascii="Times New Roman" w:hAnsi="Times New Roman" w:cs="Times New Roman"/>
          <w:color w:val="auto"/>
          <w:sz w:val="28"/>
          <w:szCs w:val="28"/>
          <w:lang w:val="en-US" w:eastAsia="zh-CN"/>
        </w:rPr>
        <w:t>侧</w:t>
      </w:r>
      <w:r>
        <w:rPr>
          <w:rFonts w:hint="default" w:ascii="Times New Roman" w:hAnsi="Times New Roman" w:cs="Times New Roman"/>
          <w:color w:val="auto"/>
          <w:sz w:val="28"/>
          <w:szCs w:val="28"/>
        </w:rPr>
        <w:t>，现有</w:t>
      </w:r>
      <w:r>
        <w:rPr>
          <w:rFonts w:hint="eastAsia" w:cs="Times New Roman"/>
          <w:color w:val="auto"/>
          <w:sz w:val="28"/>
          <w:szCs w:val="28"/>
          <w:lang w:val="en-US" w:eastAsia="zh-CN"/>
        </w:rPr>
        <w:t>4</w:t>
      </w:r>
      <w:r>
        <w:rPr>
          <w:rFonts w:hint="default" w:ascii="Times New Roman" w:hAnsi="Times New Roman" w:cs="Times New Roman"/>
          <w:color w:val="auto"/>
          <w:sz w:val="28"/>
          <w:szCs w:val="28"/>
        </w:rPr>
        <w:t>台埋地</w:t>
      </w:r>
      <w:r>
        <w:rPr>
          <w:rFonts w:hint="default" w:ascii="Times New Roman" w:hAnsi="Times New Roman" w:cs="Times New Roman"/>
          <w:color w:val="auto"/>
          <w:sz w:val="28"/>
          <w:szCs w:val="28"/>
          <w:lang w:val="en-US" w:eastAsia="zh-CN"/>
        </w:rPr>
        <w:t>双层</w:t>
      </w:r>
      <w:r>
        <w:rPr>
          <w:rFonts w:hint="default" w:ascii="Times New Roman" w:hAnsi="Times New Roman" w:cs="Times New Roman"/>
          <w:color w:val="auto"/>
          <w:sz w:val="28"/>
          <w:szCs w:val="28"/>
        </w:rPr>
        <w:t>储罐（包括1台</w:t>
      </w:r>
      <w:r>
        <w:rPr>
          <w:rFonts w:hint="default" w:ascii="Times New Roman" w:hAnsi="Times New Roman" w:cs="Times New Roman"/>
          <w:color w:val="auto"/>
          <w:sz w:val="28"/>
          <w:szCs w:val="28"/>
          <w:lang w:val="en-US" w:eastAsia="zh-CN"/>
        </w:rPr>
        <w:t>30m</w:t>
      </w:r>
      <w:r>
        <w:rPr>
          <w:rFonts w:hint="default" w:ascii="Times New Roman" w:hAnsi="Times New Roman" w:cs="Times New Roman"/>
          <w:color w:val="auto"/>
          <w:sz w:val="28"/>
          <w:szCs w:val="28"/>
          <w:vertAlign w:val="superscript"/>
          <w:lang w:val="en-US" w:eastAsia="zh-CN"/>
        </w:rPr>
        <w:t>3</w:t>
      </w:r>
      <w:r>
        <w:rPr>
          <w:rFonts w:hint="default" w:ascii="Times New Roman" w:hAnsi="Times New Roman" w:cs="Times New Roman"/>
          <w:color w:val="auto"/>
          <w:sz w:val="28"/>
          <w:szCs w:val="28"/>
        </w:rPr>
        <w:t>92#汽油罐、1台</w:t>
      </w:r>
      <w:r>
        <w:rPr>
          <w:rFonts w:hint="eastAsia" w:cs="Times New Roman"/>
          <w:color w:val="auto"/>
          <w:sz w:val="28"/>
          <w:szCs w:val="28"/>
          <w:lang w:val="en-US" w:eastAsia="zh-CN"/>
        </w:rPr>
        <w:t>3</w:t>
      </w:r>
      <w:r>
        <w:rPr>
          <w:rFonts w:hint="default" w:ascii="Times New Roman" w:hAnsi="Times New Roman" w:cs="Times New Roman"/>
          <w:color w:val="auto"/>
          <w:sz w:val="28"/>
          <w:szCs w:val="28"/>
          <w:lang w:val="en-US" w:eastAsia="zh-CN"/>
        </w:rPr>
        <w:t>0m</w:t>
      </w:r>
      <w:r>
        <w:rPr>
          <w:rFonts w:hint="default" w:ascii="Times New Roman" w:hAnsi="Times New Roman" w:cs="Times New Roman"/>
          <w:color w:val="auto"/>
          <w:sz w:val="28"/>
          <w:szCs w:val="28"/>
          <w:vertAlign w:val="superscript"/>
          <w:lang w:val="en-US" w:eastAsia="zh-CN"/>
        </w:rPr>
        <w:t>3</w:t>
      </w:r>
      <w:r>
        <w:rPr>
          <w:rFonts w:hint="eastAsia" w:ascii="Times New Roman" w:hAnsi="Times New Roman" w:cs="Times New Roman"/>
          <w:color w:val="auto"/>
          <w:sz w:val="28"/>
          <w:szCs w:val="28"/>
          <w:vertAlign w:val="baseline"/>
          <w:lang w:val="en-US" w:eastAsia="zh-CN"/>
        </w:rPr>
        <w:t>95#</w:t>
      </w:r>
      <w:r>
        <w:rPr>
          <w:rFonts w:hint="default" w:ascii="Times New Roman" w:hAnsi="Times New Roman" w:cs="Times New Roman"/>
          <w:color w:val="auto"/>
          <w:sz w:val="28"/>
          <w:szCs w:val="28"/>
        </w:rPr>
        <w:t>油罐、</w:t>
      </w:r>
      <w:r>
        <w:rPr>
          <w:rFonts w:hint="eastAsia" w:cs="Times New Roman"/>
          <w:color w:val="auto"/>
          <w:sz w:val="28"/>
          <w:szCs w:val="28"/>
          <w:lang w:val="en-US" w:eastAsia="zh-CN"/>
        </w:rPr>
        <w:t>2</w:t>
      </w:r>
      <w:r>
        <w:rPr>
          <w:rFonts w:hint="default" w:ascii="Times New Roman" w:hAnsi="Times New Roman" w:cs="Times New Roman"/>
          <w:color w:val="auto"/>
          <w:sz w:val="28"/>
          <w:szCs w:val="28"/>
        </w:rPr>
        <w:t>台</w:t>
      </w: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lang w:val="en-US" w:eastAsia="zh-CN"/>
        </w:rPr>
        <w:t>0m</w:t>
      </w:r>
      <w:r>
        <w:rPr>
          <w:rFonts w:hint="default" w:ascii="Times New Roman" w:hAnsi="Times New Roman" w:cs="Times New Roman"/>
          <w:color w:val="auto"/>
          <w:sz w:val="28"/>
          <w:szCs w:val="28"/>
          <w:vertAlign w:val="superscript"/>
          <w:lang w:val="en-US" w:eastAsia="zh-CN"/>
        </w:rPr>
        <w:t>3</w:t>
      </w:r>
      <w:r>
        <w:rPr>
          <w:rFonts w:hint="default" w:ascii="Times New Roman" w:hAnsi="Times New Roman" w:cs="Times New Roman"/>
          <w:color w:val="auto"/>
          <w:sz w:val="28"/>
          <w:szCs w:val="28"/>
          <w:lang w:val="en-US" w:eastAsia="zh-CN"/>
        </w:rPr>
        <w:t>柴</w:t>
      </w:r>
      <w:r>
        <w:rPr>
          <w:rFonts w:hint="default" w:ascii="Times New Roman" w:hAnsi="Times New Roman" w:cs="Times New Roman"/>
          <w:color w:val="auto"/>
          <w:sz w:val="28"/>
          <w:szCs w:val="28"/>
        </w:rPr>
        <w:t>油罐），</w:t>
      </w:r>
      <w:r>
        <w:rPr>
          <w:rFonts w:hint="eastAsia" w:cs="Times New Roman"/>
          <w:color w:val="auto"/>
          <w:sz w:val="28"/>
          <w:szCs w:val="28"/>
          <w:lang w:val="en-US" w:eastAsia="zh-CN"/>
        </w:rPr>
        <w:t>4</w:t>
      </w:r>
      <w:r>
        <w:rPr>
          <w:rFonts w:hint="default" w:ascii="Times New Roman" w:hAnsi="Times New Roman" w:cs="Times New Roman"/>
          <w:color w:val="auto"/>
          <w:sz w:val="28"/>
          <w:szCs w:val="28"/>
        </w:rPr>
        <w:t>台油罐均安装了液位仪，其油罐埋地设置，通气管</w:t>
      </w:r>
      <w:r>
        <w:rPr>
          <w:rFonts w:hint="eastAsia" w:cs="Times New Roman"/>
          <w:color w:val="auto"/>
          <w:sz w:val="28"/>
          <w:szCs w:val="28"/>
          <w:lang w:val="en-US" w:eastAsia="zh-CN"/>
        </w:rPr>
        <w:t>5</w:t>
      </w:r>
      <w:r>
        <w:rPr>
          <w:rFonts w:hint="default" w:ascii="Times New Roman" w:hAnsi="Times New Roman" w:cs="Times New Roman"/>
          <w:color w:val="auto"/>
          <w:sz w:val="28"/>
          <w:szCs w:val="28"/>
        </w:rPr>
        <w:t>根</w:t>
      </w:r>
      <w:r>
        <w:rPr>
          <w:rFonts w:hint="eastAsia" w:ascii="宋体" w:hAnsi="宋体"/>
          <w:color w:val="000000" w:themeColor="text1"/>
          <w:kern w:val="2"/>
          <w:sz w:val="28"/>
          <w:szCs w:val="28"/>
          <w14:textFill>
            <w14:solidFill>
              <w14:schemeClr w14:val="tx1"/>
            </w14:solidFill>
          </w14:textFill>
        </w:rPr>
        <w:t>（油气回收</w:t>
      </w:r>
      <w:r>
        <w:rPr>
          <w:rFonts w:hint="eastAsia" w:ascii="宋体" w:hAnsi="宋体"/>
          <w:color w:val="000000" w:themeColor="text1"/>
          <w:kern w:val="2"/>
          <w:sz w:val="28"/>
          <w:szCs w:val="28"/>
          <w:lang w:val="en-US" w:eastAsia="zh-CN"/>
          <w14:textFill>
            <w14:solidFill>
              <w14:schemeClr w14:val="tx1"/>
            </w14:solidFill>
          </w14:textFill>
        </w:rPr>
        <w:t>处理</w:t>
      </w:r>
      <w:r>
        <w:rPr>
          <w:rFonts w:hint="eastAsia" w:ascii="宋体" w:hAnsi="宋体"/>
          <w:color w:val="000000" w:themeColor="text1"/>
          <w:kern w:val="2"/>
          <w:sz w:val="28"/>
          <w:szCs w:val="28"/>
          <w14:textFill>
            <w14:solidFill>
              <w14:schemeClr w14:val="tx1"/>
            </w14:solidFill>
          </w14:textFill>
        </w:rPr>
        <w:t>装置1根）</w:t>
      </w:r>
      <w:r>
        <w:rPr>
          <w:rFonts w:hint="default" w:ascii="Times New Roman" w:hAnsi="Times New Roman" w:cs="Times New Roman"/>
          <w:color w:val="auto"/>
          <w:sz w:val="28"/>
          <w:szCs w:val="28"/>
        </w:rPr>
        <w:t>；该站汽油设有加油、卸油油气回收系统</w:t>
      </w:r>
      <w:r>
        <w:rPr>
          <w:rFonts w:hint="eastAsia" w:cs="Times New Roman"/>
          <w:color w:val="auto"/>
          <w:sz w:val="28"/>
          <w:szCs w:val="28"/>
          <w:lang w:val="en-US" w:eastAsia="zh-CN"/>
        </w:rPr>
        <w:t>及油气处理装置（三次油气回收系统）</w:t>
      </w:r>
      <w:r>
        <w:rPr>
          <w:rFonts w:hint="default" w:ascii="Times New Roman" w:hAnsi="Times New Roman" w:cs="Times New Roman"/>
          <w:color w:val="auto"/>
          <w:sz w:val="28"/>
          <w:szCs w:val="28"/>
        </w:rPr>
        <w:t>；</w:t>
      </w:r>
      <w:r>
        <w:rPr>
          <w:rFonts w:hint="eastAsia" w:cs="Times New Roman"/>
          <w:color w:val="auto"/>
          <w:sz w:val="28"/>
          <w:szCs w:val="28"/>
          <w:lang w:val="en-US" w:eastAsia="zh-CN"/>
        </w:rPr>
        <w:t>因CNG加气子站已停用并拆除，</w:t>
      </w:r>
      <w:r>
        <w:rPr>
          <w:rFonts w:hint="default" w:ascii="Times New Roman" w:hAnsi="Times New Roman" w:cs="Times New Roman"/>
          <w:color w:val="auto"/>
          <w:sz w:val="28"/>
          <w:szCs w:val="28"/>
        </w:rPr>
        <w:t>按《汽车加油加气加氢站技术标准》GB50156-2021标准规定：V=</w:t>
      </w:r>
      <w:r>
        <w:rPr>
          <w:rFonts w:hint="eastAsia" w:cs="Times New Roman"/>
          <w:color w:val="auto"/>
          <w:sz w:val="28"/>
          <w:szCs w:val="28"/>
          <w:lang w:val="en-US" w:eastAsia="zh-CN"/>
        </w:rPr>
        <w:t>90</w:t>
      </w:r>
      <w:r>
        <w:rPr>
          <w:rFonts w:hint="default" w:ascii="Times New Roman" w:hAnsi="Times New Roman" w:cs="Times New Roman"/>
          <w:color w:val="auto"/>
          <w:sz w:val="28"/>
          <w:szCs w:val="28"/>
        </w:rPr>
        <w:t>m</w:t>
      </w:r>
      <w:r>
        <w:rPr>
          <w:rFonts w:hint="default" w:ascii="Times New Roman" w:hAnsi="Times New Roman" w:cs="Times New Roman"/>
          <w:color w:val="auto"/>
          <w:sz w:val="28"/>
          <w:szCs w:val="28"/>
          <w:vertAlign w:val="superscript"/>
        </w:rPr>
        <w:t>3</w:t>
      </w:r>
      <w:r>
        <w:rPr>
          <w:rFonts w:hint="default" w:ascii="Times New Roman" w:hAnsi="Times New Roman" w:cs="Times New Roman"/>
          <w:color w:val="auto"/>
          <w:sz w:val="28"/>
          <w:szCs w:val="28"/>
        </w:rPr>
        <w:t>，该站属</w:t>
      </w:r>
      <w:r>
        <w:rPr>
          <w:rFonts w:hint="default" w:ascii="Times New Roman" w:hAnsi="Times New Roman" w:cs="Times New Roman"/>
          <w:color w:val="auto"/>
          <w:sz w:val="28"/>
          <w:szCs w:val="28"/>
          <w:lang w:val="en-US" w:eastAsia="zh-CN"/>
        </w:rPr>
        <w:t>三</w:t>
      </w:r>
      <w:r>
        <w:rPr>
          <w:rFonts w:hint="default" w:ascii="Times New Roman" w:hAnsi="Times New Roman" w:cs="Times New Roman"/>
          <w:color w:val="auto"/>
          <w:sz w:val="28"/>
          <w:szCs w:val="28"/>
          <w:lang w:eastAsia="zh-CN"/>
        </w:rPr>
        <w:t>级</w:t>
      </w:r>
      <w:r>
        <w:rPr>
          <w:rFonts w:hint="default" w:ascii="Times New Roman" w:hAnsi="Times New Roman" w:cs="Times New Roman"/>
          <w:color w:val="auto"/>
          <w:sz w:val="28"/>
          <w:szCs w:val="28"/>
        </w:rPr>
        <w:t>加油站。</w:t>
      </w:r>
    </w:p>
    <w:p w14:paraId="0891C16C">
      <w:pPr>
        <w:pStyle w:val="10"/>
        <w:widowControl w:val="0"/>
        <w:adjustRightInd w:val="0"/>
        <w:snapToGrid w:val="0"/>
        <w:spacing w:line="360" w:lineRule="auto"/>
        <w:outlineLvl w:val="9"/>
        <w:rPr>
          <w:rFonts w:hint="default" w:ascii="Times New Roman" w:hAnsi="Times New Roman" w:cs="Times New Roman"/>
          <w:color w:val="auto"/>
        </w:rPr>
      </w:pPr>
      <w:r>
        <w:rPr>
          <w:rFonts w:hint="default" w:ascii="Times New Roman" w:hAnsi="Times New Roman" w:cs="Times New Roman"/>
          <w:color w:val="auto"/>
        </w:rPr>
        <w:t>表2.1-1 加油站的等级划分</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3210"/>
        <w:gridCol w:w="3217"/>
      </w:tblGrid>
      <w:tr w14:paraId="7E450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D0C3EAC">
            <w:pPr>
              <w:pStyle w:val="11"/>
              <w:widowControl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加油站等级</w:t>
            </w:r>
          </w:p>
        </w:tc>
        <w:tc>
          <w:tcPr>
            <w:tcW w:w="3338" w:type="pct"/>
            <w:gridSpan w:val="2"/>
            <w:vAlign w:val="center"/>
          </w:tcPr>
          <w:p w14:paraId="50171750">
            <w:pPr>
              <w:pStyle w:val="11"/>
              <w:widowControl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加油站油罐容积（m</w:t>
            </w:r>
            <w:r>
              <w:rPr>
                <w:rFonts w:hint="default" w:ascii="Times New Roman" w:hAnsi="Times New Roman" w:cs="Times New Roman"/>
                <w:b/>
                <w:bCs/>
                <w:color w:val="auto"/>
                <w:vertAlign w:val="superscript"/>
              </w:rPr>
              <w:t>3</w:t>
            </w:r>
            <w:r>
              <w:rPr>
                <w:rFonts w:hint="default" w:ascii="Times New Roman" w:hAnsi="Times New Roman" w:cs="Times New Roman"/>
                <w:b/>
                <w:bCs/>
                <w:color w:val="auto"/>
              </w:rPr>
              <w:t>）</w:t>
            </w:r>
          </w:p>
        </w:tc>
      </w:tr>
      <w:tr w14:paraId="12E31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78BCCA8A">
            <w:pPr>
              <w:pStyle w:val="11"/>
              <w:widowControl w:val="0"/>
              <w:spacing w:line="360" w:lineRule="auto"/>
              <w:rPr>
                <w:rFonts w:hint="default" w:ascii="Times New Roman" w:hAnsi="Times New Roman" w:cs="Times New Roman"/>
                <w:b/>
                <w:bCs/>
                <w:color w:val="auto"/>
              </w:rPr>
            </w:pPr>
          </w:p>
        </w:tc>
        <w:tc>
          <w:tcPr>
            <w:tcW w:w="1667" w:type="pct"/>
            <w:vAlign w:val="center"/>
          </w:tcPr>
          <w:p w14:paraId="292F6BC9">
            <w:pPr>
              <w:pStyle w:val="11"/>
              <w:widowControl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总容积V</w:t>
            </w:r>
          </w:p>
        </w:tc>
        <w:tc>
          <w:tcPr>
            <w:tcW w:w="1671" w:type="pct"/>
            <w:vAlign w:val="center"/>
          </w:tcPr>
          <w:p w14:paraId="2040BFFA">
            <w:pPr>
              <w:pStyle w:val="11"/>
              <w:widowControl w:val="0"/>
              <w:spacing w:line="360" w:lineRule="auto"/>
              <w:rPr>
                <w:rFonts w:hint="default" w:ascii="Times New Roman" w:hAnsi="Times New Roman" w:cs="Times New Roman"/>
                <w:b/>
                <w:bCs/>
                <w:color w:val="auto"/>
              </w:rPr>
            </w:pPr>
            <w:r>
              <w:rPr>
                <w:rFonts w:hint="default" w:ascii="Times New Roman" w:hAnsi="Times New Roman" w:cs="Times New Roman"/>
                <w:b/>
                <w:bCs/>
                <w:color w:val="auto"/>
              </w:rPr>
              <w:t>单罐容积</w:t>
            </w:r>
          </w:p>
        </w:tc>
      </w:tr>
      <w:tr w14:paraId="6A34A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0F6FA94">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一级</w:t>
            </w:r>
          </w:p>
        </w:tc>
        <w:tc>
          <w:tcPr>
            <w:tcW w:w="1667" w:type="pct"/>
            <w:vAlign w:val="center"/>
          </w:tcPr>
          <w:p w14:paraId="2848B5E6">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150＜V≤210</w:t>
            </w:r>
          </w:p>
        </w:tc>
        <w:tc>
          <w:tcPr>
            <w:tcW w:w="1671" w:type="pct"/>
            <w:vAlign w:val="center"/>
          </w:tcPr>
          <w:p w14:paraId="5CF91A0D">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≤50</w:t>
            </w:r>
          </w:p>
        </w:tc>
      </w:tr>
      <w:tr w14:paraId="5CEEA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290DAFB">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二级</w:t>
            </w:r>
          </w:p>
        </w:tc>
        <w:tc>
          <w:tcPr>
            <w:tcW w:w="1667" w:type="pct"/>
            <w:vAlign w:val="center"/>
          </w:tcPr>
          <w:p w14:paraId="27C6EA81">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90＜V≤150</w:t>
            </w:r>
          </w:p>
        </w:tc>
        <w:tc>
          <w:tcPr>
            <w:tcW w:w="1671" w:type="pct"/>
            <w:vAlign w:val="center"/>
          </w:tcPr>
          <w:p w14:paraId="67CDEFF8">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≤50</w:t>
            </w:r>
          </w:p>
        </w:tc>
      </w:tr>
      <w:tr w14:paraId="7FC2F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447BB344">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三级</w:t>
            </w:r>
          </w:p>
        </w:tc>
        <w:tc>
          <w:tcPr>
            <w:tcW w:w="1667" w:type="pct"/>
            <w:vAlign w:val="center"/>
          </w:tcPr>
          <w:p w14:paraId="07F4E997">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V≤90</w:t>
            </w:r>
          </w:p>
        </w:tc>
        <w:tc>
          <w:tcPr>
            <w:tcW w:w="1671" w:type="pct"/>
            <w:vAlign w:val="center"/>
          </w:tcPr>
          <w:p w14:paraId="750F7B4C">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汽油罐≤30，柴油罐≤50</w:t>
            </w:r>
          </w:p>
        </w:tc>
      </w:tr>
    </w:tbl>
    <w:p w14:paraId="0749D86F">
      <w:pPr>
        <w:pStyle w:val="12"/>
        <w:widowControl w:val="0"/>
        <w:spacing w:line="360" w:lineRule="auto"/>
        <w:ind w:firstLine="436"/>
        <w:rPr>
          <w:rFonts w:hint="default" w:ascii="Times New Roman" w:hAnsi="Times New Roman" w:cs="Times New Roman"/>
          <w:color w:val="auto"/>
        </w:rPr>
      </w:pPr>
      <w:r>
        <w:rPr>
          <w:rFonts w:hint="default" w:ascii="Times New Roman" w:hAnsi="Times New Roman" w:cs="Times New Roman"/>
          <w:color w:val="auto"/>
        </w:rPr>
        <w:t>注：V为油罐总容积。柴油罐容积可折半计入油罐总容积。</w:t>
      </w:r>
    </w:p>
    <w:p w14:paraId="06CDD1E8">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14:textFill>
            <w14:solidFill>
              <w14:schemeClr w14:val="tx1"/>
            </w14:solidFill>
          </w14:textFill>
        </w:rPr>
        <w:t>该站现有职工</w:t>
      </w:r>
      <w:r>
        <w:rPr>
          <w:rFonts w:hint="eastAsia" w:ascii="宋体" w:hAnsi="宋体"/>
          <w:color w:val="000000" w:themeColor="text1"/>
          <w:sz w:val="28"/>
          <w:szCs w:val="28"/>
          <w:lang w:val="en-US" w:eastAsia="zh-CN"/>
          <w14:textFill>
            <w14:solidFill>
              <w14:schemeClr w14:val="tx1"/>
            </w14:solidFill>
          </w14:textFill>
        </w:rPr>
        <w:t>5</w:t>
      </w:r>
      <w:r>
        <w:rPr>
          <w:rFonts w:hint="default" w:ascii="宋体" w:hAnsi="宋体"/>
          <w:color w:val="000000" w:themeColor="text1"/>
          <w:sz w:val="28"/>
          <w:szCs w:val="28"/>
          <w:lang w:eastAsia="zh-CN"/>
          <w14:textFill>
            <w14:solidFill>
              <w14:schemeClr w14:val="tx1"/>
            </w14:solidFill>
          </w14:textFill>
        </w:rPr>
        <w:t>人</w:t>
      </w:r>
      <w:r>
        <w:rPr>
          <w:rFonts w:hint="default" w:ascii="宋体" w:hAnsi="宋体"/>
          <w:color w:val="000000" w:themeColor="text1"/>
          <w:sz w:val="28"/>
          <w:szCs w:val="28"/>
          <w14:textFill>
            <w14:solidFill>
              <w14:schemeClr w14:val="tx1"/>
            </w14:solidFill>
          </w14:textFill>
        </w:rPr>
        <w:t>，其中主要负责人1人，安全生产管理人员1人。主要负责人和安全生产管理人员已参加了危险化学品安全管理培训，并取得考核合</w:t>
      </w:r>
      <w:r>
        <w:rPr>
          <w:rFonts w:hint="default" w:ascii="宋体" w:hAnsi="宋体"/>
          <w:color w:val="000000" w:themeColor="text1"/>
          <w:sz w:val="28"/>
          <w:szCs w:val="28"/>
          <w:lang w:val="en-US" w:eastAsia="zh-CN"/>
          <w14:textFill>
            <w14:solidFill>
              <w14:schemeClr w14:val="tx1"/>
            </w14:solidFill>
          </w14:textFill>
        </w:rPr>
        <w:t>格证，详见附件。</w:t>
      </w:r>
    </w:p>
    <w:p w14:paraId="445C2777">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加油站于202</w:t>
      </w:r>
      <w:r>
        <w:rPr>
          <w:rFonts w:hint="eastAsia" w:ascii="宋体" w:hAnsi="宋体"/>
          <w:color w:val="000000" w:themeColor="text1"/>
          <w:sz w:val="28"/>
          <w:szCs w:val="28"/>
          <w:lang w:val="en-US" w:eastAsia="zh-CN"/>
          <w14:textFill>
            <w14:solidFill>
              <w14:schemeClr w14:val="tx1"/>
            </w14:solidFill>
          </w14:textFill>
        </w:rPr>
        <w:t>2</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19</w:t>
      </w:r>
      <w:r>
        <w:rPr>
          <w:rFonts w:hint="default" w:ascii="宋体" w:hAnsi="宋体"/>
          <w:color w:val="000000" w:themeColor="text1"/>
          <w:sz w:val="28"/>
          <w:szCs w:val="28"/>
          <w:lang w:val="en-US" w:eastAsia="zh-CN"/>
          <w14:textFill>
            <w14:solidFill>
              <w14:schemeClr w14:val="tx1"/>
            </w14:solidFill>
          </w14:textFill>
        </w:rPr>
        <w:t>日换发了《危险化学品经营许可证》，证书编号：鲁泰危化经[20</w:t>
      </w:r>
      <w:r>
        <w:rPr>
          <w:rFonts w:hint="eastAsia" w:ascii="宋体" w:hAnsi="宋体"/>
          <w:color w:val="000000" w:themeColor="text1"/>
          <w:sz w:val="28"/>
          <w:szCs w:val="28"/>
          <w:lang w:val="en-US" w:eastAsia="zh-CN"/>
          <w14:textFill>
            <w14:solidFill>
              <w14:schemeClr w14:val="tx1"/>
            </w14:solidFill>
          </w14:textFill>
        </w:rPr>
        <w:t>22</w:t>
      </w:r>
      <w:r>
        <w:rPr>
          <w:rFonts w:hint="default" w:ascii="宋体" w:hAnsi="宋体"/>
          <w:color w:val="000000" w:themeColor="text1"/>
          <w:sz w:val="28"/>
          <w:szCs w:val="28"/>
          <w:lang w:val="en-US" w:eastAsia="zh-CN"/>
          <w14:textFill>
            <w14:solidFill>
              <w14:schemeClr w14:val="tx1"/>
            </w14:solidFill>
          </w14:textFill>
        </w:rPr>
        <w:t>]000</w:t>
      </w:r>
      <w:r>
        <w:rPr>
          <w:rFonts w:hint="eastAsia" w:ascii="宋体" w:hAnsi="宋体"/>
          <w:color w:val="000000" w:themeColor="text1"/>
          <w:sz w:val="28"/>
          <w:szCs w:val="28"/>
          <w:lang w:val="en-US" w:eastAsia="zh-CN"/>
          <w14:textFill>
            <w14:solidFill>
              <w14:schemeClr w14:val="tx1"/>
            </w14:solidFill>
          </w14:textFill>
        </w:rPr>
        <w:t>345</w:t>
      </w:r>
      <w:r>
        <w:rPr>
          <w:rFonts w:hint="default" w:ascii="宋体" w:hAnsi="宋体"/>
          <w:color w:val="000000" w:themeColor="text1"/>
          <w:sz w:val="28"/>
          <w:szCs w:val="28"/>
          <w:lang w:val="en-US" w:eastAsia="zh-CN"/>
          <w14:textFill>
            <w14:solidFill>
              <w14:schemeClr w14:val="tx1"/>
            </w14:solidFill>
          </w14:textFill>
        </w:rPr>
        <w:t>号，证书有效期202</w:t>
      </w:r>
      <w:r>
        <w:rPr>
          <w:rFonts w:hint="eastAsia" w:ascii="宋体" w:hAnsi="宋体"/>
          <w:color w:val="000000" w:themeColor="text1"/>
          <w:sz w:val="28"/>
          <w:szCs w:val="28"/>
          <w:lang w:val="en-US" w:eastAsia="zh-CN"/>
          <w14:textFill>
            <w14:solidFill>
              <w14:schemeClr w14:val="tx1"/>
            </w14:solidFill>
          </w14:textFill>
        </w:rPr>
        <w:t>2</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19</w:t>
      </w:r>
      <w:r>
        <w:rPr>
          <w:rFonts w:hint="default" w:ascii="宋体" w:hAnsi="宋体"/>
          <w:color w:val="000000" w:themeColor="text1"/>
          <w:sz w:val="28"/>
          <w:szCs w:val="28"/>
          <w:lang w:val="en-US" w:eastAsia="zh-CN"/>
          <w14:textFill>
            <w14:solidFill>
              <w14:schemeClr w14:val="tx1"/>
            </w14:solidFill>
          </w14:textFill>
        </w:rPr>
        <w:t>日至202</w:t>
      </w:r>
      <w:r>
        <w:rPr>
          <w:rFonts w:hint="eastAsia" w:ascii="宋体" w:hAnsi="宋体"/>
          <w:color w:val="000000" w:themeColor="text1"/>
          <w:sz w:val="28"/>
          <w:szCs w:val="28"/>
          <w:lang w:val="en-US" w:eastAsia="zh-CN"/>
          <w14:textFill>
            <w14:solidFill>
              <w14:schemeClr w14:val="tx1"/>
            </w14:solidFill>
          </w14:textFill>
        </w:rPr>
        <w:t>5</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18</w:t>
      </w:r>
      <w:r>
        <w:rPr>
          <w:rFonts w:hint="default" w:ascii="宋体" w:hAnsi="宋体"/>
          <w:color w:val="000000" w:themeColor="text1"/>
          <w:sz w:val="28"/>
          <w:szCs w:val="28"/>
          <w:lang w:val="en-US" w:eastAsia="zh-CN"/>
          <w14:textFill>
            <w14:solidFill>
              <w14:schemeClr w14:val="tx1"/>
            </w14:solidFill>
          </w14:textFill>
        </w:rPr>
        <w:t>日。证书见附件。</w:t>
      </w:r>
    </w:p>
    <w:p w14:paraId="133FD61C">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加油站于202</w:t>
      </w:r>
      <w:r>
        <w:rPr>
          <w:rFonts w:hint="eastAsia" w:ascii="宋体" w:hAnsi="宋体"/>
          <w:color w:val="000000" w:themeColor="text1"/>
          <w:sz w:val="28"/>
          <w:szCs w:val="28"/>
          <w:lang w:val="en-US" w:eastAsia="zh-CN"/>
          <w14:textFill>
            <w14:solidFill>
              <w14:schemeClr w14:val="tx1"/>
            </w14:solidFill>
          </w14:textFill>
        </w:rPr>
        <w:t>1</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06月22</w:t>
      </w:r>
      <w:r>
        <w:rPr>
          <w:rFonts w:hint="default" w:ascii="宋体" w:hAnsi="宋体"/>
          <w:color w:val="000000" w:themeColor="text1"/>
          <w:sz w:val="28"/>
          <w:szCs w:val="28"/>
          <w:lang w:val="en-US" w:eastAsia="zh-CN"/>
          <w14:textFill>
            <w14:solidFill>
              <w14:schemeClr w14:val="tx1"/>
            </w14:solidFill>
          </w14:textFill>
        </w:rPr>
        <w:t>日换发了《成品油零售经营批准证书》，证书编号：鲁油零售证书第3709</w:t>
      </w:r>
      <w:r>
        <w:rPr>
          <w:rFonts w:hint="eastAsia" w:ascii="宋体" w:hAnsi="宋体"/>
          <w:color w:val="000000" w:themeColor="text1"/>
          <w:sz w:val="28"/>
          <w:szCs w:val="28"/>
          <w:lang w:val="en-US" w:eastAsia="zh-CN"/>
          <w14:textFill>
            <w14:solidFill>
              <w14:schemeClr w14:val="tx1"/>
            </w14:solidFill>
          </w14:textFill>
        </w:rPr>
        <w:t>041020</w:t>
      </w:r>
      <w:r>
        <w:rPr>
          <w:rFonts w:hint="default" w:ascii="宋体" w:hAnsi="宋体"/>
          <w:color w:val="000000" w:themeColor="text1"/>
          <w:sz w:val="28"/>
          <w:szCs w:val="28"/>
          <w:lang w:val="en-US" w:eastAsia="zh-CN"/>
          <w14:textFill>
            <w14:solidFill>
              <w14:schemeClr w14:val="tx1"/>
            </w14:solidFill>
          </w14:textFill>
        </w:rPr>
        <w:t>号，证书有效期</w:t>
      </w:r>
      <w:r>
        <w:rPr>
          <w:rFonts w:hint="eastAsia" w:ascii="宋体" w:hAnsi="宋体"/>
          <w:color w:val="000000" w:themeColor="text1"/>
          <w:sz w:val="28"/>
          <w:szCs w:val="28"/>
          <w:lang w:val="en-US" w:eastAsia="zh-CN"/>
          <w14:textFill>
            <w14:solidFill>
              <w14:schemeClr w14:val="tx1"/>
            </w14:solidFill>
          </w14:textFill>
        </w:rPr>
        <w:t>2021年06月22日</w:t>
      </w:r>
      <w:r>
        <w:rPr>
          <w:rFonts w:hint="default" w:ascii="宋体" w:hAnsi="宋体"/>
          <w:color w:val="000000" w:themeColor="text1"/>
          <w:sz w:val="28"/>
          <w:szCs w:val="28"/>
          <w:lang w:val="en-US" w:eastAsia="zh-CN"/>
          <w14:textFill>
            <w14:solidFill>
              <w14:schemeClr w14:val="tx1"/>
            </w14:solidFill>
          </w14:textFill>
        </w:rPr>
        <w:t>至2026年</w:t>
      </w:r>
      <w:r>
        <w:rPr>
          <w:rFonts w:hint="eastAsia" w:ascii="宋体" w:hAnsi="宋体"/>
          <w:color w:val="000000" w:themeColor="text1"/>
          <w:sz w:val="28"/>
          <w:szCs w:val="28"/>
          <w:lang w:val="en-US" w:eastAsia="zh-CN"/>
          <w14:textFill>
            <w14:solidFill>
              <w14:schemeClr w14:val="tx1"/>
            </w14:solidFill>
          </w14:textFill>
        </w:rPr>
        <w:t>06</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22</w:t>
      </w:r>
      <w:r>
        <w:rPr>
          <w:rFonts w:hint="default" w:ascii="宋体" w:hAnsi="宋体"/>
          <w:color w:val="000000" w:themeColor="text1"/>
          <w:sz w:val="28"/>
          <w:szCs w:val="28"/>
          <w:lang w:val="en-US" w:eastAsia="zh-CN"/>
          <w14:textFill>
            <w14:solidFill>
              <w14:schemeClr w14:val="tx1"/>
            </w14:solidFill>
          </w14:textFill>
        </w:rPr>
        <w:t>日。证书见附件。</w:t>
      </w:r>
      <w:bookmarkStart w:id="14" w:name="_Hlk508440011"/>
    </w:p>
    <w:p w14:paraId="5D4ED8F5">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该站编制了生产安全事故应急预案，于202</w:t>
      </w:r>
      <w:r>
        <w:rPr>
          <w:rFonts w:hint="eastAsia" w:ascii="宋体" w:hAnsi="宋体"/>
          <w:color w:val="000000" w:themeColor="text1"/>
          <w:sz w:val="28"/>
          <w:szCs w:val="28"/>
          <w:lang w:val="en-US" w:eastAsia="zh-CN"/>
          <w14:textFill>
            <w14:solidFill>
              <w14:schemeClr w14:val="tx1"/>
            </w14:solidFill>
          </w14:textFill>
        </w:rPr>
        <w:t>4</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10</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17</w:t>
      </w:r>
      <w:r>
        <w:rPr>
          <w:rFonts w:hint="default" w:ascii="宋体" w:hAnsi="宋体"/>
          <w:color w:val="000000" w:themeColor="text1"/>
          <w:sz w:val="28"/>
          <w:szCs w:val="28"/>
          <w:lang w:val="en-US" w:eastAsia="zh-CN"/>
          <w14:textFill>
            <w14:solidFill>
              <w14:schemeClr w14:val="tx1"/>
            </w14:solidFill>
          </w14:textFill>
        </w:rPr>
        <w:t>日在</w:t>
      </w:r>
      <w:r>
        <w:rPr>
          <w:rFonts w:hint="eastAsia" w:ascii="宋体" w:hAnsi="宋体"/>
          <w:color w:val="000000" w:themeColor="text1"/>
          <w:sz w:val="28"/>
          <w:szCs w:val="28"/>
          <w:lang w:val="en-US" w:eastAsia="zh-CN"/>
          <w14:textFill>
            <w14:solidFill>
              <w14:schemeClr w14:val="tx1"/>
            </w14:solidFill>
          </w14:textFill>
        </w:rPr>
        <w:t>泰安市</w:t>
      </w:r>
      <w:r>
        <w:rPr>
          <w:rFonts w:hint="default" w:ascii="宋体" w:hAnsi="宋体"/>
          <w:color w:val="000000" w:themeColor="text1"/>
          <w:sz w:val="28"/>
          <w:szCs w:val="28"/>
          <w:lang w:val="en-US" w:eastAsia="zh-CN"/>
          <w14:textFill>
            <w14:solidFill>
              <w14:schemeClr w14:val="tx1"/>
            </w14:solidFill>
          </w14:textFill>
        </w:rPr>
        <w:t>应急管理局进行了备案，备案编号为：3709</w:t>
      </w:r>
      <w:r>
        <w:rPr>
          <w:rFonts w:hint="eastAsia" w:ascii="宋体" w:hAnsi="宋体"/>
          <w:color w:val="000000" w:themeColor="text1"/>
          <w:sz w:val="28"/>
          <w:szCs w:val="28"/>
          <w:lang w:val="en-US" w:eastAsia="zh-CN"/>
          <w14:textFill>
            <w14:solidFill>
              <w14:schemeClr w14:val="tx1"/>
            </w14:solidFill>
          </w14:textFill>
        </w:rPr>
        <w:t>00</w:t>
      </w:r>
      <w:r>
        <w:rPr>
          <w:rFonts w:hint="default" w:ascii="宋体" w:hAnsi="宋体"/>
          <w:color w:val="000000" w:themeColor="text1"/>
          <w:sz w:val="28"/>
          <w:szCs w:val="28"/>
          <w:lang w:val="en-US" w:eastAsia="zh-CN"/>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4</w:t>
      </w:r>
      <w:r>
        <w:rPr>
          <w:rFonts w:hint="default" w:ascii="宋体" w:hAnsi="宋体"/>
          <w:color w:val="000000" w:themeColor="text1"/>
          <w:sz w:val="28"/>
          <w:szCs w:val="28"/>
          <w:lang w:val="en-US" w:eastAsia="zh-CN"/>
          <w14:textFill>
            <w14:solidFill>
              <w14:schemeClr w14:val="tx1"/>
            </w14:solidFill>
          </w14:textFill>
        </w:rPr>
        <w:t>-0</w:t>
      </w:r>
      <w:r>
        <w:rPr>
          <w:rFonts w:hint="eastAsia" w:ascii="宋体" w:hAnsi="宋体"/>
          <w:color w:val="000000" w:themeColor="text1"/>
          <w:sz w:val="28"/>
          <w:szCs w:val="28"/>
          <w:lang w:val="en-US" w:eastAsia="zh-CN"/>
          <w14:textFill>
            <w14:solidFill>
              <w14:schemeClr w14:val="tx1"/>
            </w14:solidFill>
          </w14:textFill>
        </w:rPr>
        <w:t>017</w:t>
      </w:r>
      <w:r>
        <w:rPr>
          <w:rFonts w:hint="default" w:ascii="宋体" w:hAnsi="宋体"/>
          <w:color w:val="000000" w:themeColor="text1"/>
          <w:sz w:val="28"/>
          <w:szCs w:val="28"/>
          <w:lang w:val="en-US" w:eastAsia="zh-CN"/>
          <w14:textFill>
            <w14:solidFill>
              <w14:schemeClr w14:val="tx1"/>
            </w14:solidFill>
          </w14:textFill>
        </w:rPr>
        <w:t>。详见附件。</w:t>
      </w:r>
      <w:bookmarkEnd w:id="14"/>
    </w:p>
    <w:p w14:paraId="39F1FD01">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加油站于</w:t>
      </w:r>
      <w:r>
        <w:rPr>
          <w:rFonts w:hint="eastAsia" w:ascii="宋体" w:hAnsi="宋体"/>
          <w:color w:val="000000" w:themeColor="text1"/>
          <w:sz w:val="28"/>
          <w:szCs w:val="28"/>
          <w:lang w:val="en-US" w:eastAsia="zh-CN"/>
          <w14:textFill>
            <w14:solidFill>
              <w14:schemeClr w14:val="tx1"/>
            </w14:solidFill>
          </w14:textFill>
        </w:rPr>
        <w:t>2012</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11</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14</w:t>
      </w:r>
      <w:r>
        <w:rPr>
          <w:rFonts w:hint="default" w:ascii="宋体" w:hAnsi="宋体"/>
          <w:color w:val="000000" w:themeColor="text1"/>
          <w:sz w:val="28"/>
          <w:szCs w:val="28"/>
          <w:lang w:val="en-US" w:eastAsia="zh-CN"/>
          <w14:textFill>
            <w14:solidFill>
              <w14:schemeClr w14:val="tx1"/>
            </w14:solidFill>
          </w14:textFill>
        </w:rPr>
        <w:t>日取得了</w:t>
      </w:r>
      <w:r>
        <w:rPr>
          <w:rFonts w:hint="eastAsia" w:ascii="宋体" w:hAnsi="宋体"/>
          <w:color w:val="000000" w:themeColor="text1"/>
          <w:sz w:val="28"/>
          <w:szCs w:val="28"/>
          <w:lang w:val="en-US" w:eastAsia="zh-CN"/>
          <w14:textFill>
            <w14:solidFill>
              <w14:schemeClr w14:val="tx1"/>
            </w14:solidFill>
          </w14:textFill>
        </w:rPr>
        <w:t>宁阳县公安消防大队</w:t>
      </w:r>
      <w:r>
        <w:rPr>
          <w:rFonts w:hint="default" w:ascii="宋体" w:hAnsi="宋体"/>
          <w:color w:val="000000" w:themeColor="text1"/>
          <w:sz w:val="28"/>
          <w:szCs w:val="28"/>
          <w:lang w:val="en-US" w:eastAsia="zh-CN"/>
          <w14:textFill>
            <w14:solidFill>
              <w14:schemeClr w14:val="tx1"/>
            </w14:solidFill>
          </w14:textFill>
        </w:rPr>
        <w:t>出具的《</w:t>
      </w:r>
      <w:r>
        <w:rPr>
          <w:rFonts w:hint="eastAsia" w:ascii="宋体" w:hAnsi="宋体"/>
          <w:color w:val="000000" w:themeColor="text1"/>
          <w:sz w:val="28"/>
          <w:szCs w:val="28"/>
          <w:lang w:val="en-US" w:eastAsia="zh-CN"/>
          <w14:textFill>
            <w14:solidFill>
              <w14:schemeClr w14:val="tx1"/>
            </w14:solidFill>
          </w14:textFill>
        </w:rPr>
        <w:t>建设工程消防验收意见书</w:t>
      </w:r>
      <w:r>
        <w:rPr>
          <w:rFonts w:hint="default" w:ascii="宋体" w:hAnsi="宋体"/>
          <w:color w:val="000000" w:themeColor="text1"/>
          <w:sz w:val="28"/>
          <w:szCs w:val="28"/>
          <w:lang w:val="en-US" w:eastAsia="zh-CN"/>
          <w14:textFill>
            <w14:solidFill>
              <w14:schemeClr w14:val="tx1"/>
            </w14:solidFill>
          </w14:textFill>
        </w:rPr>
        <w:t>》，编号：</w:t>
      </w:r>
      <w:r>
        <w:rPr>
          <w:rFonts w:hint="eastAsia" w:ascii="宋体" w:hAnsi="宋体"/>
          <w:color w:val="000000" w:themeColor="text1"/>
          <w:sz w:val="28"/>
          <w:szCs w:val="28"/>
          <w:lang w:val="en-US" w:eastAsia="zh-CN"/>
          <w14:textFill>
            <w14:solidFill>
              <w14:schemeClr w14:val="tx1"/>
            </w14:solidFill>
          </w14:textFill>
        </w:rPr>
        <w:t>宁公消验[2012]第0006号</w:t>
      </w:r>
      <w:r>
        <w:rPr>
          <w:rFonts w:hint="default" w:ascii="宋体" w:hAnsi="宋体"/>
          <w:color w:val="000000" w:themeColor="text1"/>
          <w:sz w:val="28"/>
          <w:szCs w:val="28"/>
          <w:lang w:val="en-US" w:eastAsia="zh-CN"/>
          <w14:textFill>
            <w14:solidFill>
              <w14:schemeClr w14:val="tx1"/>
            </w14:solidFill>
          </w14:textFill>
        </w:rPr>
        <w:t>，详见附件。</w:t>
      </w:r>
    </w:p>
    <w:p w14:paraId="64A62438">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公司于20</w:t>
      </w:r>
      <w:r>
        <w:rPr>
          <w:rFonts w:hint="eastAsia" w:ascii="宋体" w:hAnsi="宋体"/>
          <w:color w:val="000000" w:themeColor="text1"/>
          <w:sz w:val="28"/>
          <w:szCs w:val="28"/>
          <w:lang w:val="en-US" w:eastAsia="zh-CN"/>
          <w14:textFill>
            <w14:solidFill>
              <w14:schemeClr w14:val="tx1"/>
            </w14:solidFill>
          </w14:textFill>
        </w:rPr>
        <w:t>02</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12</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31</w:t>
      </w:r>
      <w:r>
        <w:rPr>
          <w:rFonts w:hint="default" w:ascii="宋体" w:hAnsi="宋体"/>
          <w:color w:val="000000" w:themeColor="text1"/>
          <w:sz w:val="28"/>
          <w:szCs w:val="28"/>
          <w:lang w:val="en-US" w:eastAsia="zh-CN"/>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取得了</w:t>
      </w:r>
      <w:r>
        <w:rPr>
          <w:rFonts w:hint="default"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中华人民共和国国有土地使用证</w:t>
      </w:r>
      <w:r>
        <w:rPr>
          <w:rFonts w:hint="default"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证书编号为宁国用（2002）第252号</w:t>
      </w:r>
      <w:r>
        <w:rPr>
          <w:rFonts w:hint="default" w:ascii="宋体" w:hAnsi="宋体"/>
          <w:color w:val="000000" w:themeColor="text1"/>
          <w:sz w:val="28"/>
          <w:szCs w:val="28"/>
          <w:lang w:val="en-US" w:eastAsia="zh-CN"/>
          <w14:textFill>
            <w14:solidFill>
              <w14:schemeClr w14:val="tx1"/>
            </w14:solidFill>
          </w14:textFill>
        </w:rPr>
        <w:t>。详见附件。</w:t>
      </w:r>
    </w:p>
    <w:p w14:paraId="23D4DBB3">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公司购买了中国人民财产保险股份有限公司的安全生产责任保险，保单号为PZIT202437010000000051，保险期限为2024年0</w:t>
      </w:r>
      <w:r>
        <w:rPr>
          <w:rFonts w:hint="eastAsia" w:ascii="宋体" w:hAnsi="宋体"/>
          <w:color w:val="000000" w:themeColor="text1"/>
          <w:sz w:val="28"/>
          <w:szCs w:val="28"/>
          <w:lang w:val="en-US" w:eastAsia="zh-CN"/>
          <w14:textFill>
            <w14:solidFill>
              <w14:schemeClr w14:val="tx1"/>
            </w14:solidFill>
          </w14:textFill>
        </w:rPr>
        <w:t>6</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23</w:t>
      </w:r>
      <w:r>
        <w:rPr>
          <w:rFonts w:hint="default" w:ascii="宋体" w:hAnsi="宋体"/>
          <w:color w:val="000000" w:themeColor="text1"/>
          <w:sz w:val="28"/>
          <w:szCs w:val="28"/>
          <w:lang w:val="en-US" w:eastAsia="zh-CN"/>
          <w14:textFill>
            <w14:solidFill>
              <w14:schemeClr w14:val="tx1"/>
            </w14:solidFill>
          </w14:textFill>
        </w:rPr>
        <w:t>日至2025年0</w:t>
      </w:r>
      <w:r>
        <w:rPr>
          <w:rFonts w:hint="eastAsia" w:ascii="宋体" w:hAnsi="宋体"/>
          <w:color w:val="000000" w:themeColor="text1"/>
          <w:sz w:val="28"/>
          <w:szCs w:val="28"/>
          <w:lang w:val="en-US" w:eastAsia="zh-CN"/>
          <w14:textFill>
            <w14:solidFill>
              <w14:schemeClr w14:val="tx1"/>
            </w14:solidFill>
          </w14:textFill>
        </w:rPr>
        <w:t>6</w:t>
      </w:r>
      <w:r>
        <w:rPr>
          <w:rFonts w:hint="default" w:ascii="宋体" w:hAnsi="宋体"/>
          <w:color w:val="000000" w:themeColor="text1"/>
          <w:sz w:val="28"/>
          <w:szCs w:val="28"/>
          <w:lang w:val="en-US" w:eastAsia="zh-CN"/>
          <w14:textFill>
            <w14:solidFill>
              <w14:schemeClr w14:val="tx1"/>
            </w14:solidFill>
          </w14:textFill>
        </w:rPr>
        <w:t>月2</w:t>
      </w:r>
      <w:r>
        <w:rPr>
          <w:rFonts w:hint="eastAsia" w:ascii="宋体" w:hAnsi="宋体"/>
          <w:color w:val="000000" w:themeColor="text1"/>
          <w:sz w:val="28"/>
          <w:szCs w:val="28"/>
          <w:lang w:val="en-US" w:eastAsia="zh-CN"/>
          <w14:textFill>
            <w14:solidFill>
              <w14:schemeClr w14:val="tx1"/>
            </w14:solidFill>
          </w14:textFill>
        </w:rPr>
        <w:t>2</w:t>
      </w:r>
      <w:r>
        <w:rPr>
          <w:rFonts w:hint="default" w:ascii="宋体" w:hAnsi="宋体"/>
          <w:color w:val="000000" w:themeColor="text1"/>
          <w:sz w:val="28"/>
          <w:szCs w:val="28"/>
          <w:lang w:val="en-US" w:eastAsia="zh-CN"/>
          <w14:textFill>
            <w14:solidFill>
              <w14:schemeClr w14:val="tx1"/>
            </w14:solidFill>
          </w14:textFill>
        </w:rPr>
        <w:t>日。详见附件。</w:t>
      </w:r>
    </w:p>
    <w:p w14:paraId="44E53AAB">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山东天科防雷工程有限公司对该站进行了相关防雷设施的检测，出具了合格的《雷电防护装置定期检测报告》，报告编号：（1122016001）[2024]TA</w:t>
      </w:r>
      <w:r>
        <w:rPr>
          <w:rFonts w:hint="eastAsia" w:ascii="宋体" w:hAnsi="宋体"/>
          <w:color w:val="000000" w:themeColor="text1"/>
          <w:sz w:val="28"/>
          <w:szCs w:val="28"/>
          <w:lang w:val="en-US" w:eastAsia="zh-CN"/>
          <w14:textFill>
            <w14:solidFill>
              <w14:schemeClr w14:val="tx1"/>
            </w14:solidFill>
          </w14:textFill>
        </w:rPr>
        <w:t>NY</w:t>
      </w:r>
      <w:r>
        <w:rPr>
          <w:rFonts w:hint="default" w:ascii="宋体" w:hAnsi="宋体"/>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0108</w:t>
      </w:r>
      <w:r>
        <w:rPr>
          <w:rFonts w:hint="default" w:ascii="宋体" w:hAnsi="宋体"/>
          <w:color w:val="000000" w:themeColor="text1"/>
          <w:sz w:val="28"/>
          <w:szCs w:val="28"/>
          <w:lang w:val="en-US" w:eastAsia="zh-CN"/>
          <w14:textFill>
            <w14:solidFill>
              <w14:schemeClr w14:val="tx1"/>
            </w14:solidFill>
          </w14:textFill>
        </w:rPr>
        <w:t>号，防雷类别：二类，有效期至202</w:t>
      </w:r>
      <w:r>
        <w:rPr>
          <w:rFonts w:hint="eastAsia" w:ascii="宋体" w:hAnsi="宋体"/>
          <w:color w:val="000000" w:themeColor="text1"/>
          <w:sz w:val="28"/>
          <w:szCs w:val="28"/>
          <w:lang w:val="en-US" w:eastAsia="zh-CN"/>
          <w14:textFill>
            <w14:solidFill>
              <w14:schemeClr w14:val="tx1"/>
            </w14:solidFill>
          </w14:textFill>
        </w:rPr>
        <w:t>5</w:t>
      </w:r>
      <w:r>
        <w:rPr>
          <w:rFonts w:hint="default" w:ascii="宋体" w:hAnsi="宋体"/>
          <w:color w:val="000000" w:themeColor="text1"/>
          <w:sz w:val="28"/>
          <w:szCs w:val="28"/>
          <w:lang w:val="en-US" w:eastAsia="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03</w:t>
      </w:r>
      <w:r>
        <w:rPr>
          <w:rFonts w:hint="default" w:ascii="宋体" w:hAnsi="宋体"/>
          <w:color w:val="000000" w:themeColor="text1"/>
          <w:sz w:val="28"/>
          <w:szCs w:val="28"/>
          <w:lang w:val="en-US" w:eastAsia="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20</w:t>
      </w:r>
      <w:r>
        <w:rPr>
          <w:rFonts w:hint="default" w:ascii="宋体" w:hAnsi="宋体"/>
          <w:color w:val="000000" w:themeColor="text1"/>
          <w:sz w:val="28"/>
          <w:szCs w:val="28"/>
          <w:lang w:val="en-US" w:eastAsia="zh-CN"/>
          <w14:textFill>
            <w14:solidFill>
              <w14:schemeClr w14:val="tx1"/>
            </w14:solidFill>
          </w14:textFill>
        </w:rPr>
        <w:t>日。检测报告见附件。</w:t>
      </w:r>
    </w:p>
    <w:p w14:paraId="2C0522F5">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济南本安科技发展有限公司于2024年3月29日，对该站的可燃气体探测器进行了检验，测试结果为合格，详见报告。</w:t>
      </w:r>
    </w:p>
    <w:p w14:paraId="32A4E8C8">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该站建立健全了安全生产责任制、安全生产规章制度和安全操作规程，执行情况较好。</w:t>
      </w:r>
    </w:p>
    <w:p w14:paraId="2BEC358E">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该站现有员工</w:t>
      </w:r>
      <w:r>
        <w:rPr>
          <w:rFonts w:hint="eastAsia" w:ascii="宋体" w:hAnsi="宋体"/>
          <w:color w:val="000000" w:themeColor="text1"/>
          <w:sz w:val="28"/>
          <w:szCs w:val="28"/>
          <w:lang w:val="en-US" w:eastAsia="zh-CN"/>
          <w14:textFill>
            <w14:solidFill>
              <w14:schemeClr w14:val="tx1"/>
            </w14:solidFill>
          </w14:textFill>
        </w:rPr>
        <w:t>5</w:t>
      </w:r>
      <w:r>
        <w:rPr>
          <w:rFonts w:hint="default" w:ascii="宋体" w:hAnsi="宋体"/>
          <w:color w:val="000000" w:themeColor="text1"/>
          <w:sz w:val="28"/>
          <w:szCs w:val="28"/>
          <w:lang w:val="en-US" w:eastAsia="zh-CN"/>
          <w14:textFill>
            <w14:solidFill>
              <w14:schemeClr w14:val="tx1"/>
            </w14:solidFill>
          </w14:textFill>
        </w:rPr>
        <w:t>人，主要负责人和安全员经过安全培训，各项安全管理制度基本健全，有生产经营单位生产事故应急预案，并定期进行应急救援演练。该加油站消防器材配备齐全，加油站配备了35kg推车式干粉灭火器</w:t>
      </w:r>
      <w:r>
        <w:rPr>
          <w:rFonts w:hint="eastAsia" w:ascii="宋体" w:hAnsi="宋体"/>
          <w:color w:val="000000" w:themeColor="text1"/>
          <w:sz w:val="28"/>
          <w:szCs w:val="28"/>
          <w:lang w:val="en-US" w:eastAsia="zh-CN"/>
          <w14:textFill>
            <w14:solidFill>
              <w14:schemeClr w14:val="tx1"/>
            </w14:solidFill>
          </w14:textFill>
        </w:rPr>
        <w:t>1</w:t>
      </w:r>
      <w:r>
        <w:rPr>
          <w:rFonts w:hint="default" w:ascii="宋体" w:hAnsi="宋体"/>
          <w:color w:val="000000" w:themeColor="text1"/>
          <w:sz w:val="28"/>
          <w:szCs w:val="28"/>
          <w:lang w:val="en-US" w:eastAsia="zh-CN"/>
          <w14:textFill>
            <w14:solidFill>
              <w14:schemeClr w14:val="tx1"/>
            </w14:solidFill>
          </w14:textFill>
        </w:rPr>
        <w:t>具，</w:t>
      </w:r>
      <w:r>
        <w:rPr>
          <w:rFonts w:hint="eastAsia" w:ascii="宋体" w:hAnsi="宋体"/>
          <w:color w:val="000000" w:themeColor="text1"/>
          <w:sz w:val="28"/>
          <w:szCs w:val="28"/>
          <w:lang w:val="en-US" w:eastAsia="zh-CN"/>
          <w14:textFill>
            <w14:solidFill>
              <w14:schemeClr w14:val="tx1"/>
            </w14:solidFill>
          </w14:textFill>
        </w:rPr>
        <w:t>5</w:t>
      </w:r>
      <w:r>
        <w:rPr>
          <w:rFonts w:hint="default" w:ascii="宋体" w:hAnsi="宋体"/>
          <w:color w:val="000000" w:themeColor="text1"/>
          <w:sz w:val="28"/>
          <w:szCs w:val="28"/>
          <w:lang w:val="en-US" w:eastAsia="zh-CN"/>
          <w14:textFill>
            <w14:solidFill>
              <w14:schemeClr w14:val="tx1"/>
            </w14:solidFill>
          </w14:textFill>
        </w:rPr>
        <w:t>kg手提式干粉灭火</w:t>
      </w:r>
      <w:r>
        <w:rPr>
          <w:rFonts w:hint="eastAsia" w:ascii="宋体" w:hAnsi="宋体"/>
          <w:color w:val="000000" w:themeColor="text1"/>
          <w:sz w:val="28"/>
          <w:szCs w:val="28"/>
          <w:lang w:val="en-US" w:eastAsia="zh-CN"/>
          <w14:textFill>
            <w14:solidFill>
              <w14:schemeClr w14:val="tx1"/>
            </w14:solidFill>
          </w14:textFill>
        </w:rPr>
        <w:t>10</w:t>
      </w:r>
      <w:r>
        <w:rPr>
          <w:rFonts w:hint="default" w:ascii="宋体" w:hAnsi="宋体"/>
          <w:color w:val="000000" w:themeColor="text1"/>
          <w:sz w:val="28"/>
          <w:szCs w:val="28"/>
          <w:lang w:val="en-US" w:eastAsia="zh-CN"/>
          <w14:textFill>
            <w14:solidFill>
              <w14:schemeClr w14:val="tx1"/>
            </w14:solidFill>
          </w14:textFill>
        </w:rPr>
        <w:t>具，CO2灭火器</w:t>
      </w:r>
      <w:r>
        <w:rPr>
          <w:rFonts w:hint="eastAsia" w:ascii="宋体" w:hAnsi="宋体"/>
          <w:color w:val="000000" w:themeColor="text1"/>
          <w:sz w:val="28"/>
          <w:szCs w:val="28"/>
          <w:lang w:val="en-US" w:eastAsia="zh-CN"/>
          <w14:textFill>
            <w14:solidFill>
              <w14:schemeClr w14:val="tx1"/>
            </w14:solidFill>
          </w14:textFill>
        </w:rPr>
        <w:t>6</w:t>
      </w:r>
      <w:r>
        <w:rPr>
          <w:rFonts w:hint="default" w:ascii="宋体" w:hAnsi="宋体"/>
          <w:color w:val="000000" w:themeColor="text1"/>
          <w:sz w:val="28"/>
          <w:szCs w:val="28"/>
          <w:lang w:val="en-US" w:eastAsia="zh-CN"/>
          <w14:textFill>
            <w14:solidFill>
              <w14:schemeClr w14:val="tx1"/>
            </w14:solidFill>
          </w14:textFill>
        </w:rPr>
        <w:t>具，灭火毯</w:t>
      </w:r>
      <w:r>
        <w:rPr>
          <w:rFonts w:hint="eastAsia" w:ascii="宋体" w:hAnsi="宋体"/>
          <w:color w:val="000000" w:themeColor="text1"/>
          <w:sz w:val="28"/>
          <w:szCs w:val="28"/>
          <w:lang w:val="en-US" w:eastAsia="zh-CN"/>
          <w14:textFill>
            <w14:solidFill>
              <w14:schemeClr w14:val="tx1"/>
            </w14:solidFill>
          </w14:textFill>
        </w:rPr>
        <w:t>6</w:t>
      </w:r>
      <w:r>
        <w:rPr>
          <w:rFonts w:hint="default" w:ascii="宋体" w:hAnsi="宋体"/>
          <w:color w:val="000000" w:themeColor="text1"/>
          <w:sz w:val="28"/>
          <w:szCs w:val="28"/>
          <w:lang w:val="en-US" w:eastAsia="zh-CN"/>
          <w14:textFill>
            <w14:solidFill>
              <w14:schemeClr w14:val="tx1"/>
            </w14:solidFill>
          </w14:textFill>
        </w:rPr>
        <w:t>块，消防锨</w:t>
      </w:r>
      <w:r>
        <w:rPr>
          <w:rFonts w:hint="eastAsia" w:ascii="宋体" w:hAnsi="宋体"/>
          <w:color w:val="000000" w:themeColor="text1"/>
          <w:sz w:val="28"/>
          <w:szCs w:val="28"/>
          <w:lang w:val="en-US" w:eastAsia="zh-CN"/>
          <w14:textFill>
            <w14:solidFill>
              <w14:schemeClr w14:val="tx1"/>
            </w14:solidFill>
          </w14:textFill>
        </w:rPr>
        <w:t>2</w:t>
      </w:r>
      <w:r>
        <w:rPr>
          <w:rFonts w:hint="default" w:ascii="宋体" w:hAnsi="宋体"/>
          <w:color w:val="000000" w:themeColor="text1"/>
          <w:sz w:val="28"/>
          <w:szCs w:val="28"/>
          <w:lang w:val="en-US" w:eastAsia="zh-CN"/>
          <w14:textFill>
            <w14:solidFill>
              <w14:schemeClr w14:val="tx1"/>
            </w14:solidFill>
          </w14:textFill>
        </w:rPr>
        <w:t>把，消防桶</w:t>
      </w:r>
      <w:r>
        <w:rPr>
          <w:rFonts w:hint="eastAsia" w:ascii="宋体" w:hAnsi="宋体"/>
          <w:color w:val="000000" w:themeColor="text1"/>
          <w:sz w:val="28"/>
          <w:szCs w:val="28"/>
          <w:lang w:val="en-US" w:eastAsia="zh-CN"/>
          <w14:textFill>
            <w14:solidFill>
              <w14:schemeClr w14:val="tx1"/>
            </w14:solidFill>
          </w14:textFill>
        </w:rPr>
        <w:t>2</w:t>
      </w:r>
      <w:r>
        <w:rPr>
          <w:rFonts w:hint="default" w:ascii="宋体" w:hAnsi="宋体"/>
          <w:color w:val="000000" w:themeColor="text1"/>
          <w:sz w:val="28"/>
          <w:szCs w:val="28"/>
          <w:lang w:val="en-US" w:eastAsia="zh-CN"/>
          <w14:textFill>
            <w14:solidFill>
              <w14:schemeClr w14:val="tx1"/>
            </w14:solidFill>
          </w14:textFill>
        </w:rPr>
        <w:t>个，消防沙池2m3。</w:t>
      </w:r>
    </w:p>
    <w:p w14:paraId="0104D6D1">
      <w:pPr>
        <w:adjustRightInd w:val="0"/>
        <w:snapToGrid w:val="0"/>
        <w:spacing w:line="360" w:lineRule="auto"/>
        <w:ind w:firstLine="560" w:firstLineChars="200"/>
        <w:rPr>
          <w:rFonts w:hint="default" w:ascii="宋体" w:hAnsi="宋体"/>
          <w:color w:val="000000" w:themeColor="text1"/>
          <w:sz w:val="28"/>
          <w:szCs w:val="28"/>
          <w:lang w:val="en-US" w:eastAsia="zh-CN"/>
          <w14:textFill>
            <w14:solidFill>
              <w14:schemeClr w14:val="tx1"/>
            </w14:solidFill>
          </w14:textFill>
        </w:rPr>
      </w:pPr>
      <w:r>
        <w:rPr>
          <w:rFonts w:hint="default" w:ascii="宋体" w:hAnsi="宋体"/>
          <w:color w:val="000000" w:themeColor="text1"/>
          <w:sz w:val="28"/>
          <w:szCs w:val="28"/>
          <w:lang w:val="en-US" w:eastAsia="zh-CN"/>
          <w14:textFill>
            <w14:solidFill>
              <w14:schemeClr w14:val="tx1"/>
            </w14:solidFill>
          </w14:textFill>
        </w:rPr>
        <w:t>该加油站按功能分区布置，有油罐区、加油区、站房</w:t>
      </w:r>
      <w:r>
        <w:rPr>
          <w:rFonts w:hint="eastAsia" w:ascii="宋体" w:hAnsi="宋体"/>
          <w:color w:val="000000" w:themeColor="text1"/>
          <w:sz w:val="28"/>
          <w:szCs w:val="28"/>
          <w:lang w:val="en-US" w:eastAsia="zh-CN"/>
          <w14:textFill>
            <w14:solidFill>
              <w14:schemeClr w14:val="tx1"/>
            </w14:solidFill>
          </w14:textFill>
        </w:rPr>
        <w:t>、充电区</w:t>
      </w:r>
      <w:r>
        <w:rPr>
          <w:rFonts w:hint="default" w:ascii="宋体" w:hAnsi="宋体"/>
          <w:color w:val="000000" w:themeColor="text1"/>
          <w:sz w:val="28"/>
          <w:szCs w:val="28"/>
          <w:lang w:val="en-US" w:eastAsia="zh-CN"/>
          <w14:textFill>
            <w14:solidFill>
              <w14:schemeClr w14:val="tx1"/>
            </w14:solidFill>
          </w14:textFill>
        </w:rPr>
        <w:t>，布置较合理。</w:t>
      </w:r>
    </w:p>
    <w:p w14:paraId="17B3971D">
      <w:pPr>
        <w:adjustRightInd w:val="0"/>
        <w:snapToGrid w:val="0"/>
        <w:spacing w:line="360" w:lineRule="auto"/>
        <w:ind w:firstLine="560" w:firstLineChars="200"/>
        <w:rPr>
          <w:rFonts w:hint="default" w:ascii="Times New Roman" w:hAnsi="Times New Roman" w:cs="Times New Roman"/>
          <w:color w:val="auto"/>
        </w:rPr>
      </w:pPr>
      <w:r>
        <w:rPr>
          <w:rFonts w:hint="default" w:ascii="宋体" w:hAnsi="宋体"/>
          <w:color w:val="000000" w:themeColor="text1"/>
          <w:sz w:val="28"/>
          <w:szCs w:val="28"/>
          <w:lang w:val="en-US" w:eastAsia="zh-CN"/>
          <w14:textFill>
            <w14:solidFill>
              <w14:schemeClr w14:val="tx1"/>
            </w14:solidFill>
          </w14:textFill>
        </w:rPr>
        <w:t>站房地上一层（砖混），罩棚为钢架结构。该站基本情况见下表2.1-2。</w:t>
      </w:r>
      <w:r>
        <w:rPr>
          <w:rFonts w:hint="default" w:ascii="宋体" w:hAnsi="宋体" w:eastAsia="Arial" w:cs="Arial"/>
          <w:snapToGrid w:val="0"/>
          <w:color w:val="000000"/>
          <w:kern w:val="0"/>
          <w:sz w:val="28"/>
          <w:szCs w:val="28"/>
          <w:lang w:val="en-US" w:eastAsia="zh-CN" w:bidi="ar-SA"/>
        </w:rPr>
        <w:t xml:space="preserve">  </w:t>
      </w:r>
      <w:r>
        <w:rPr>
          <w:rFonts w:hint="default" w:ascii="Times New Roman" w:hAnsi="Times New Roman" w:cs="Times New Roman"/>
          <w:color w:val="auto"/>
        </w:rPr>
        <w:t xml:space="preserve">                                                                                                                                                                                                                                                                                                                                                                                                                                                                                                                                                                                                                                                                                                                                                                                                                                                                                                                                                                                                                                                                                                                                                                                                                                                                                                                                                                                                                                                                                                                                                                                                                                                                                                                                                                                                                                                                                                                                                                                                                                                                                                                                                                                                                                                                                                                                                                                                                                                                                                                                                                                                                                                                                                                                                                                                                                                                                                                                                                                                                                                                                                                                                                                                                                                                                                                                                                </w:t>
      </w:r>
    </w:p>
    <w:p w14:paraId="6FBCBA8A">
      <w:pPr>
        <w:pStyle w:val="10"/>
        <w:widowControl w:val="0"/>
        <w:outlineLvl w:val="9"/>
        <w:rPr>
          <w:rFonts w:hint="default" w:ascii="Times New Roman" w:hAnsi="Times New Roman" w:cs="Times New Roman"/>
          <w:color w:val="auto"/>
        </w:rPr>
      </w:pPr>
      <w:r>
        <w:rPr>
          <w:rFonts w:hint="default" w:ascii="Times New Roman" w:hAnsi="Times New Roman" w:cs="Times New Roman"/>
          <w:color w:val="auto"/>
        </w:rPr>
        <w:t>表2.1-2 加油站基本情况表</w:t>
      </w:r>
    </w:p>
    <w:tbl>
      <w:tblPr>
        <w:tblStyle w:val="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57" w:type="dxa"/>
          <w:left w:w="108" w:type="dxa"/>
          <w:bottom w:w="57" w:type="dxa"/>
          <w:right w:w="108" w:type="dxa"/>
        </w:tblCellMar>
      </w:tblPr>
      <w:tblGrid>
        <w:gridCol w:w="1483"/>
        <w:gridCol w:w="1483"/>
        <w:gridCol w:w="995"/>
        <w:gridCol w:w="133"/>
        <w:gridCol w:w="1321"/>
        <w:gridCol w:w="191"/>
        <w:gridCol w:w="1323"/>
        <w:gridCol w:w="1149"/>
        <w:gridCol w:w="168"/>
        <w:gridCol w:w="1381"/>
      </w:tblGrid>
      <w:tr w14:paraId="669D1F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80" w:hRule="atLeast"/>
          <w:jc w:val="center"/>
        </w:trPr>
        <w:tc>
          <w:tcPr>
            <w:tcW w:w="771" w:type="pct"/>
            <w:vAlign w:val="center"/>
          </w:tcPr>
          <w:p w14:paraId="71D80EC6">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企业名称</w:t>
            </w:r>
          </w:p>
        </w:tc>
        <w:tc>
          <w:tcPr>
            <w:tcW w:w="4228" w:type="pct"/>
            <w:gridSpan w:val="9"/>
            <w:vAlign w:val="center"/>
          </w:tcPr>
          <w:p w14:paraId="60BFA7B0">
            <w:pPr>
              <w:pStyle w:val="11"/>
              <w:widowControl w:val="0"/>
              <w:spacing w:line="360" w:lineRule="auto"/>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中国石化山东泰山石油股份有限公司宁阳第十七加油加气站</w:t>
            </w:r>
          </w:p>
        </w:tc>
      </w:tr>
      <w:tr w14:paraId="2B585B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71" w:type="pct"/>
            <w:vAlign w:val="center"/>
          </w:tcPr>
          <w:p w14:paraId="6D2228C4">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注册地址</w:t>
            </w:r>
          </w:p>
        </w:tc>
        <w:tc>
          <w:tcPr>
            <w:tcW w:w="4228" w:type="pct"/>
            <w:gridSpan w:val="9"/>
            <w:vAlign w:val="center"/>
          </w:tcPr>
          <w:p w14:paraId="54EC562F">
            <w:pPr>
              <w:pStyle w:val="11"/>
              <w:widowControl w:val="0"/>
              <w:spacing w:line="360" w:lineRule="auto"/>
              <w:rPr>
                <w:rFonts w:hint="default" w:ascii="Times New Roman" w:hAnsi="Times New Roman" w:eastAsia="宋体" w:cs="Times New Roman"/>
                <w:color w:val="auto"/>
                <w:lang w:val="en-US" w:eastAsia="zh-CN"/>
              </w:rPr>
            </w:pPr>
            <w:r>
              <w:rPr>
                <w:rFonts w:hint="eastAsia"/>
                <w:lang w:val="en-US" w:eastAsia="zh-CN"/>
              </w:rPr>
              <w:t>宁阳县建设路与南外环交汇口东300米路南</w:t>
            </w:r>
          </w:p>
        </w:tc>
      </w:tr>
      <w:tr w14:paraId="1A1D10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71" w:type="pct"/>
            <w:vAlign w:val="center"/>
          </w:tcPr>
          <w:p w14:paraId="427B2756">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电话</w:t>
            </w:r>
          </w:p>
        </w:tc>
        <w:tc>
          <w:tcPr>
            <w:tcW w:w="1287" w:type="pct"/>
            <w:gridSpan w:val="2"/>
            <w:vAlign w:val="center"/>
          </w:tcPr>
          <w:p w14:paraId="5088F10E">
            <w:pPr>
              <w:pStyle w:val="11"/>
              <w:widowControl w:val="0"/>
              <w:spacing w:line="360" w:lineRule="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r>
              <w:rPr>
                <w:rFonts w:hint="eastAsia" w:cs="Times New Roman"/>
                <w:color w:val="auto"/>
                <w:lang w:val="en-US" w:eastAsia="zh-CN"/>
              </w:rPr>
              <w:t>8353830521</w:t>
            </w:r>
          </w:p>
        </w:tc>
        <w:tc>
          <w:tcPr>
            <w:tcW w:w="854" w:type="pct"/>
            <w:gridSpan w:val="3"/>
            <w:vAlign w:val="center"/>
          </w:tcPr>
          <w:p w14:paraId="728A42B7">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传 真</w:t>
            </w:r>
          </w:p>
        </w:tc>
        <w:tc>
          <w:tcPr>
            <w:tcW w:w="685" w:type="pct"/>
            <w:vAlign w:val="center"/>
          </w:tcPr>
          <w:p w14:paraId="3C9A3BCA">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w:t>
            </w:r>
          </w:p>
        </w:tc>
        <w:tc>
          <w:tcPr>
            <w:tcW w:w="597" w:type="pct"/>
            <w:vAlign w:val="center"/>
          </w:tcPr>
          <w:p w14:paraId="55627489">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邮政编码</w:t>
            </w:r>
          </w:p>
        </w:tc>
        <w:tc>
          <w:tcPr>
            <w:tcW w:w="803" w:type="pct"/>
            <w:gridSpan w:val="2"/>
            <w:vAlign w:val="center"/>
          </w:tcPr>
          <w:p w14:paraId="2CEE7BBE">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271</w:t>
            </w:r>
            <w:r>
              <w:rPr>
                <w:rFonts w:hint="eastAsia" w:cs="Times New Roman"/>
                <w:color w:val="auto"/>
                <w:lang w:val="en-US" w:eastAsia="zh-CN"/>
              </w:rPr>
              <w:t>4</w:t>
            </w:r>
            <w:r>
              <w:rPr>
                <w:rFonts w:hint="default" w:ascii="Times New Roman" w:hAnsi="Times New Roman" w:cs="Times New Roman"/>
                <w:color w:val="auto"/>
              </w:rPr>
              <w:t>00</w:t>
            </w:r>
          </w:p>
        </w:tc>
      </w:tr>
      <w:tr w14:paraId="32D648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71" w:type="pct"/>
            <w:vAlign w:val="center"/>
          </w:tcPr>
          <w:p w14:paraId="4CC8BE49">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经营产品</w:t>
            </w:r>
          </w:p>
        </w:tc>
        <w:tc>
          <w:tcPr>
            <w:tcW w:w="4228" w:type="pct"/>
            <w:gridSpan w:val="9"/>
            <w:vAlign w:val="center"/>
          </w:tcPr>
          <w:p w14:paraId="2229E700">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汽油</w:t>
            </w:r>
            <w:r>
              <w:rPr>
                <w:rFonts w:hint="eastAsia" w:cs="Times New Roman"/>
                <w:color w:val="auto"/>
                <w:lang w:eastAsia="zh-CN"/>
              </w:rPr>
              <w:t>（</w:t>
            </w:r>
            <w:r>
              <w:rPr>
                <w:rFonts w:hint="eastAsia" w:cs="Times New Roman"/>
                <w:color w:val="auto"/>
                <w:lang w:val="en-US" w:eastAsia="zh-CN"/>
              </w:rPr>
              <w:t>乙醇汽油）</w:t>
            </w:r>
            <w:r>
              <w:rPr>
                <w:rFonts w:hint="default" w:ascii="Times New Roman" w:hAnsi="Times New Roman" w:cs="Times New Roman"/>
                <w:color w:val="auto"/>
              </w:rPr>
              <w:t>、柴油</w:t>
            </w:r>
          </w:p>
        </w:tc>
      </w:tr>
      <w:tr w14:paraId="187EA5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71" w:type="pct"/>
            <w:vAlign w:val="center"/>
          </w:tcPr>
          <w:p w14:paraId="402EF35B">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登记机关</w:t>
            </w:r>
          </w:p>
        </w:tc>
        <w:tc>
          <w:tcPr>
            <w:tcW w:w="4228" w:type="pct"/>
            <w:gridSpan w:val="9"/>
            <w:vAlign w:val="center"/>
          </w:tcPr>
          <w:p w14:paraId="16B54584">
            <w:pPr>
              <w:pStyle w:val="11"/>
              <w:widowControl w:val="0"/>
              <w:spacing w:line="360" w:lineRule="auto"/>
              <w:rPr>
                <w:rFonts w:hint="default" w:ascii="Times New Roman" w:hAnsi="Times New Roman" w:cs="Times New Roman"/>
                <w:color w:val="auto"/>
              </w:rPr>
            </w:pPr>
            <w:r>
              <w:rPr>
                <w:rFonts w:hint="eastAsia" w:cs="Times New Roman"/>
                <w:color w:val="auto"/>
                <w:lang w:val="en-US" w:eastAsia="zh-CN"/>
              </w:rPr>
              <w:t>宁阳县</w:t>
            </w:r>
            <w:r>
              <w:rPr>
                <w:rFonts w:hint="default" w:ascii="Times New Roman" w:hAnsi="Times New Roman" w:cs="Times New Roman"/>
                <w:color w:val="auto"/>
                <w:lang w:val="en-US" w:eastAsia="zh-CN"/>
              </w:rPr>
              <w:t>行政审批服务局</w:t>
            </w:r>
          </w:p>
        </w:tc>
      </w:tr>
      <w:tr w14:paraId="386943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71" w:type="pct"/>
            <w:vAlign w:val="center"/>
          </w:tcPr>
          <w:p w14:paraId="41FD27C9">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法人</w:t>
            </w:r>
            <w:r>
              <w:rPr>
                <w:rStyle w:val="5"/>
                <w:rFonts w:hint="default" w:ascii="Times New Roman" w:hAnsi="Times New Roman" w:cs="Times New Roman"/>
                <w:color w:val="auto"/>
              </w:rPr>
              <w:t>代表</w:t>
            </w:r>
          </w:p>
        </w:tc>
        <w:tc>
          <w:tcPr>
            <w:tcW w:w="2042" w:type="pct"/>
            <w:gridSpan w:val="4"/>
            <w:vAlign w:val="center"/>
          </w:tcPr>
          <w:p w14:paraId="41BA8E5D">
            <w:pPr>
              <w:pStyle w:val="11"/>
              <w:widowControl w:val="0"/>
              <w:spacing w:line="360" w:lineRule="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王明昌</w:t>
            </w:r>
          </w:p>
        </w:tc>
        <w:tc>
          <w:tcPr>
            <w:tcW w:w="785" w:type="pct"/>
            <w:gridSpan w:val="2"/>
            <w:vAlign w:val="center"/>
          </w:tcPr>
          <w:p w14:paraId="15F4867F">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站长</w:t>
            </w:r>
          </w:p>
        </w:tc>
        <w:tc>
          <w:tcPr>
            <w:tcW w:w="1400" w:type="pct"/>
            <w:gridSpan w:val="3"/>
            <w:vAlign w:val="center"/>
          </w:tcPr>
          <w:p w14:paraId="53374A59">
            <w:pPr>
              <w:pStyle w:val="11"/>
              <w:widowControl w:val="0"/>
              <w:spacing w:line="360" w:lineRule="auto"/>
              <w:rPr>
                <w:rFonts w:hint="default" w:ascii="Times New Roman" w:hAnsi="Times New Roman" w:eastAsia="宋体" w:cs="Times New Roman"/>
                <w:color w:val="auto"/>
                <w:lang w:val="en-US" w:eastAsia="zh-CN"/>
              </w:rPr>
            </w:pPr>
            <w:r>
              <w:rPr>
                <w:rFonts w:hint="eastAsia" w:cs="Times New Roman"/>
                <w:color w:val="auto"/>
                <w:lang w:val="en-US" w:eastAsia="zh-CN"/>
              </w:rPr>
              <w:t>张苗</w:t>
            </w:r>
          </w:p>
        </w:tc>
      </w:tr>
      <w:tr w14:paraId="630A91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71" w:type="pct"/>
            <w:vAlign w:val="center"/>
          </w:tcPr>
          <w:p w14:paraId="4C614246">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职工人数</w:t>
            </w:r>
          </w:p>
        </w:tc>
        <w:tc>
          <w:tcPr>
            <w:tcW w:w="770" w:type="pct"/>
            <w:vAlign w:val="center"/>
          </w:tcPr>
          <w:p w14:paraId="6F7BD463">
            <w:pPr>
              <w:pStyle w:val="11"/>
              <w:widowControl w:val="0"/>
              <w:spacing w:line="360" w:lineRule="auto"/>
              <w:rPr>
                <w:rFonts w:hint="default" w:ascii="Times New Roman" w:hAnsi="Times New Roman" w:eastAsia="宋体" w:cs="Times New Roman"/>
                <w:color w:val="auto"/>
                <w:lang w:eastAsia="zh-CN"/>
              </w:rPr>
            </w:pPr>
            <w:r>
              <w:rPr>
                <w:rFonts w:hint="eastAsia" w:cs="Times New Roman"/>
                <w:color w:val="auto"/>
                <w:lang w:val="en-US" w:eastAsia="zh-CN"/>
              </w:rPr>
              <w:t>5</w:t>
            </w:r>
            <w:r>
              <w:rPr>
                <w:rFonts w:hint="default" w:ascii="Times New Roman" w:hAnsi="Times New Roman" w:cs="Times New Roman"/>
                <w:color w:val="auto"/>
                <w:lang w:eastAsia="zh-CN"/>
              </w:rPr>
              <w:t>人</w:t>
            </w:r>
          </w:p>
        </w:tc>
        <w:tc>
          <w:tcPr>
            <w:tcW w:w="1272" w:type="pct"/>
            <w:gridSpan w:val="3"/>
            <w:vAlign w:val="center"/>
          </w:tcPr>
          <w:p w14:paraId="075FDA48">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站长</w:t>
            </w:r>
          </w:p>
        </w:tc>
        <w:tc>
          <w:tcPr>
            <w:tcW w:w="785" w:type="pct"/>
            <w:gridSpan w:val="2"/>
            <w:vAlign w:val="center"/>
          </w:tcPr>
          <w:p w14:paraId="11093B11">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1</w:t>
            </w:r>
          </w:p>
        </w:tc>
        <w:tc>
          <w:tcPr>
            <w:tcW w:w="597" w:type="pct"/>
            <w:vAlign w:val="center"/>
          </w:tcPr>
          <w:p w14:paraId="5163BA2E">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安全员</w:t>
            </w:r>
          </w:p>
        </w:tc>
        <w:tc>
          <w:tcPr>
            <w:tcW w:w="803" w:type="pct"/>
            <w:gridSpan w:val="2"/>
            <w:vAlign w:val="center"/>
          </w:tcPr>
          <w:p w14:paraId="6A6FFB3B">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1</w:t>
            </w:r>
          </w:p>
        </w:tc>
      </w:tr>
      <w:tr w14:paraId="73E489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restart"/>
            <w:vAlign w:val="center"/>
          </w:tcPr>
          <w:p w14:paraId="14548001">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经营场所</w:t>
            </w:r>
          </w:p>
        </w:tc>
        <w:tc>
          <w:tcPr>
            <w:tcW w:w="770" w:type="pct"/>
            <w:vAlign w:val="center"/>
          </w:tcPr>
          <w:p w14:paraId="15B5CB8F">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产  权</w:t>
            </w:r>
          </w:p>
        </w:tc>
        <w:tc>
          <w:tcPr>
            <w:tcW w:w="3458" w:type="pct"/>
            <w:gridSpan w:val="8"/>
            <w:vAlign w:val="center"/>
          </w:tcPr>
          <w:p w14:paraId="5D64B53F">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自有</w:t>
            </w:r>
            <w:r>
              <w:rPr>
                <w:rFonts w:hint="eastAsia" w:cs="Times New Roman"/>
                <w:bCs/>
                <w:color w:val="auto"/>
                <w:lang w:eastAsia="zh-CN"/>
              </w:rPr>
              <w:t>☑</w:t>
            </w:r>
            <w:r>
              <w:rPr>
                <w:rFonts w:hint="default" w:ascii="Times New Roman" w:hAnsi="Times New Roman" w:cs="Times New Roman"/>
                <w:bCs/>
                <w:color w:val="auto"/>
              </w:rPr>
              <w:t>租赁</w:t>
            </w:r>
            <w:r>
              <w:rPr>
                <w:rFonts w:hint="eastAsia" w:cs="Times New Roman"/>
                <w:bCs/>
                <w:color w:val="auto"/>
                <w:lang w:eastAsia="zh-CN"/>
              </w:rPr>
              <w:t>□</w:t>
            </w:r>
            <w:r>
              <w:rPr>
                <w:rFonts w:hint="default" w:ascii="Times New Roman" w:hAnsi="Times New Roman" w:cs="Times New Roman"/>
                <w:bCs/>
                <w:color w:val="auto"/>
              </w:rPr>
              <w:t>承包□</w:t>
            </w:r>
          </w:p>
        </w:tc>
      </w:tr>
      <w:tr w14:paraId="1B22D2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continue"/>
            <w:vAlign w:val="center"/>
          </w:tcPr>
          <w:p w14:paraId="1705EF00">
            <w:pPr>
              <w:pStyle w:val="11"/>
              <w:widowControl w:val="0"/>
              <w:spacing w:line="360" w:lineRule="auto"/>
              <w:rPr>
                <w:rFonts w:hint="default" w:ascii="Times New Roman" w:hAnsi="Times New Roman" w:cs="Times New Roman"/>
                <w:bCs/>
                <w:color w:val="auto"/>
              </w:rPr>
            </w:pPr>
          </w:p>
        </w:tc>
        <w:tc>
          <w:tcPr>
            <w:tcW w:w="770" w:type="pct"/>
            <w:vAlign w:val="center"/>
          </w:tcPr>
          <w:p w14:paraId="5A61DABB">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站房面积</w:t>
            </w:r>
          </w:p>
        </w:tc>
        <w:tc>
          <w:tcPr>
            <w:tcW w:w="586" w:type="pct"/>
            <w:gridSpan w:val="2"/>
            <w:vAlign w:val="center"/>
          </w:tcPr>
          <w:p w14:paraId="677B6B37">
            <w:pPr>
              <w:pStyle w:val="11"/>
              <w:widowControl w:val="0"/>
              <w:spacing w:line="360" w:lineRule="auto"/>
              <w:rPr>
                <w:rFonts w:hint="default" w:ascii="Times New Roman" w:hAnsi="Times New Roman" w:cs="Times New Roman"/>
                <w:color w:val="auto"/>
                <w:highlight w:val="yellow"/>
              </w:rPr>
            </w:pPr>
            <w:r>
              <w:rPr>
                <w:rFonts w:hint="eastAsia" w:cs="Times New Roman"/>
                <w:bCs/>
                <w:color w:val="000000" w:themeColor="text1"/>
                <w:lang w:val="en-US" w:eastAsia="zh-CN"/>
                <w14:textFill>
                  <w14:solidFill>
                    <w14:schemeClr w14:val="tx1"/>
                  </w14:solidFill>
                </w14:textFill>
              </w:rPr>
              <w:t>180.96</w:t>
            </w:r>
            <w:r>
              <w:rPr>
                <w:rFonts w:hint="default" w:ascii="Times New Roman" w:hAnsi="Times New Roman" w:cs="Times New Roman"/>
                <w:bCs/>
                <w:color w:val="000000" w:themeColor="text1"/>
                <w14:textFill>
                  <w14:solidFill>
                    <w14:schemeClr w14:val="tx1"/>
                  </w14:solidFill>
                </w14:textFill>
              </w:rPr>
              <w:t>m</w:t>
            </w:r>
            <w:r>
              <w:rPr>
                <w:rFonts w:hint="default" w:ascii="Times New Roman" w:hAnsi="Times New Roman" w:cs="Times New Roman"/>
                <w:bCs/>
                <w:color w:val="000000" w:themeColor="text1"/>
                <w:vertAlign w:val="superscript"/>
                <w14:textFill>
                  <w14:solidFill>
                    <w14:schemeClr w14:val="tx1"/>
                  </w14:solidFill>
                </w14:textFill>
              </w:rPr>
              <w:t>2</w:t>
            </w:r>
          </w:p>
        </w:tc>
        <w:tc>
          <w:tcPr>
            <w:tcW w:w="685" w:type="pct"/>
            <w:vAlign w:val="center"/>
          </w:tcPr>
          <w:p w14:paraId="358DF5F1">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罩棚面积</w:t>
            </w:r>
          </w:p>
        </w:tc>
        <w:tc>
          <w:tcPr>
            <w:tcW w:w="785" w:type="pct"/>
            <w:gridSpan w:val="2"/>
            <w:vAlign w:val="center"/>
          </w:tcPr>
          <w:p w14:paraId="30D2F49E">
            <w:pPr>
              <w:pStyle w:val="11"/>
              <w:widowControl w:val="0"/>
              <w:spacing w:line="360" w:lineRule="auto"/>
              <w:rPr>
                <w:rFonts w:hint="default" w:ascii="Times New Roman" w:hAnsi="Times New Roman" w:cs="Times New Roman"/>
                <w:color w:val="auto"/>
              </w:rPr>
            </w:pPr>
            <w:r>
              <w:rPr>
                <w:rFonts w:hint="eastAsia" w:cs="Times New Roman"/>
                <w:bCs/>
                <w:color w:val="auto"/>
                <w:lang w:val="en-US" w:eastAsia="zh-CN"/>
              </w:rPr>
              <w:t>432</w:t>
            </w:r>
            <w:r>
              <w:rPr>
                <w:rFonts w:hint="default" w:ascii="Times New Roman" w:hAnsi="Times New Roman" w:cs="Times New Roman"/>
                <w:bCs/>
                <w:color w:val="auto"/>
              </w:rPr>
              <w:t>m</w:t>
            </w:r>
            <w:r>
              <w:rPr>
                <w:rFonts w:hint="default" w:ascii="Times New Roman" w:hAnsi="Times New Roman" w:cs="Times New Roman"/>
                <w:bCs/>
                <w:color w:val="auto"/>
                <w:vertAlign w:val="superscript"/>
              </w:rPr>
              <w:t>2</w:t>
            </w:r>
          </w:p>
        </w:tc>
        <w:tc>
          <w:tcPr>
            <w:tcW w:w="597" w:type="pct"/>
            <w:vAlign w:val="center"/>
          </w:tcPr>
          <w:p w14:paraId="0F9C7CEE">
            <w:pPr>
              <w:pStyle w:val="11"/>
              <w:widowControl w:val="0"/>
              <w:spacing w:line="360" w:lineRule="auto"/>
              <w:rPr>
                <w:rFonts w:hint="default" w:ascii="Times New Roman" w:hAnsi="Times New Roman" w:cs="Times New Roman"/>
                <w:color w:val="auto"/>
              </w:rPr>
            </w:pPr>
            <w:r>
              <w:rPr>
                <w:rFonts w:hint="default" w:ascii="Times New Roman" w:hAnsi="Times New Roman" w:cs="Times New Roman"/>
                <w:color w:val="auto"/>
              </w:rPr>
              <w:t>罩棚高度</w:t>
            </w:r>
          </w:p>
        </w:tc>
        <w:tc>
          <w:tcPr>
            <w:tcW w:w="803" w:type="pct"/>
            <w:gridSpan w:val="2"/>
            <w:vAlign w:val="center"/>
          </w:tcPr>
          <w:p w14:paraId="48F3D13B">
            <w:pPr>
              <w:pStyle w:val="11"/>
              <w:widowControl w:val="0"/>
              <w:spacing w:line="360" w:lineRule="auto"/>
              <w:rPr>
                <w:rFonts w:hint="default" w:ascii="Times New Roman" w:hAnsi="Times New Roman" w:cs="Times New Roman"/>
                <w:color w:val="auto"/>
              </w:rPr>
            </w:pPr>
            <w:r>
              <w:rPr>
                <w:rFonts w:hint="eastAsia" w:cs="Times New Roman"/>
                <w:color w:val="auto"/>
                <w:lang w:val="en-US" w:eastAsia="zh-CN"/>
              </w:rPr>
              <w:t>10</w:t>
            </w:r>
            <w:r>
              <w:rPr>
                <w:rFonts w:hint="default" w:ascii="Times New Roman" w:hAnsi="Times New Roman" w:cs="Times New Roman"/>
                <w:color w:val="auto"/>
              </w:rPr>
              <w:t>m</w:t>
            </w:r>
          </w:p>
        </w:tc>
      </w:tr>
      <w:tr w14:paraId="2A969E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restart"/>
            <w:vAlign w:val="center"/>
          </w:tcPr>
          <w:p w14:paraId="0A439436">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储存设施</w:t>
            </w:r>
          </w:p>
        </w:tc>
        <w:tc>
          <w:tcPr>
            <w:tcW w:w="770" w:type="pct"/>
            <w:vAlign w:val="center"/>
          </w:tcPr>
          <w:p w14:paraId="06E66626">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汽油</w:t>
            </w:r>
          </w:p>
        </w:tc>
        <w:tc>
          <w:tcPr>
            <w:tcW w:w="2058" w:type="pct"/>
            <w:gridSpan w:val="5"/>
            <w:vAlign w:val="center"/>
          </w:tcPr>
          <w:p w14:paraId="49988608">
            <w:pPr>
              <w:pStyle w:val="11"/>
              <w:widowControl w:val="0"/>
              <w:spacing w:line="360" w:lineRule="auto"/>
              <w:rPr>
                <w:rFonts w:hint="eastAsia" w:ascii="Times New Roman" w:hAnsi="Times New Roman" w:eastAsia="宋体" w:cs="Times New Roman"/>
                <w:bCs/>
                <w:color w:val="auto"/>
                <w:lang w:val="en-US" w:eastAsia="zh-CN"/>
              </w:rPr>
            </w:pPr>
            <w:r>
              <w:rPr>
                <w:rFonts w:hint="default" w:ascii="Times New Roman" w:hAnsi="Times New Roman" w:cs="Times New Roman"/>
                <w:bCs/>
                <w:color w:val="000000" w:themeColor="text1"/>
                <w14:textFill>
                  <w14:solidFill>
                    <w14:schemeClr w14:val="tx1"/>
                  </w14:solidFill>
                </w14:textFill>
              </w:rPr>
              <w:t>共个</w:t>
            </w:r>
            <w:r>
              <w:rPr>
                <w:rFonts w:hint="eastAsia" w:cs="Times New Roman"/>
                <w:bCs/>
                <w:color w:val="000000" w:themeColor="text1"/>
                <w:lang w:val="en-US" w:eastAsia="zh-CN"/>
                <w14:textFill>
                  <w14:solidFill>
                    <w14:schemeClr w14:val="tx1"/>
                  </w14:solidFill>
                </w14:textFill>
              </w:rPr>
              <w:t>2</w:t>
            </w:r>
            <w:r>
              <w:rPr>
                <w:rFonts w:hint="default" w:ascii="Times New Roman" w:hAnsi="Times New Roman" w:cs="Times New Roman"/>
                <w:bCs/>
                <w:color w:val="000000" w:themeColor="text1"/>
                <w14:textFill>
                  <w14:solidFill>
                    <w14:schemeClr w14:val="tx1"/>
                  </w14:solidFill>
                </w14:textFill>
              </w:rPr>
              <w:t>汽油罐，</w:t>
            </w:r>
            <w:r>
              <w:rPr>
                <w:rFonts w:hint="default" w:ascii="Times New Roman" w:hAnsi="Times New Roman" w:cs="Times New Roman"/>
                <w:bCs/>
                <w:color w:val="000000" w:themeColor="text1"/>
                <w:lang w:val="en-US" w:eastAsia="zh-CN"/>
                <w14:textFill>
                  <w14:solidFill>
                    <w14:schemeClr w14:val="tx1"/>
                  </w14:solidFill>
                </w14:textFill>
              </w:rPr>
              <w:t>汽油罐</w:t>
            </w:r>
            <w:r>
              <w:rPr>
                <w:rFonts w:hint="default" w:ascii="Times New Roman" w:hAnsi="Times New Roman" w:cs="Times New Roman"/>
                <w:bCs/>
                <w:color w:val="000000" w:themeColor="text1"/>
                <w14:textFill>
                  <w14:solidFill>
                    <w14:schemeClr w14:val="tx1"/>
                  </w14:solidFill>
                </w14:textFill>
              </w:rPr>
              <w:t>容积为</w:t>
            </w:r>
            <w:r>
              <w:rPr>
                <w:rFonts w:hint="eastAsia" w:ascii="Times New Roman" w:hAnsi="Times New Roman" w:cs="Times New Roman"/>
                <w:bCs/>
                <w:color w:val="000000" w:themeColor="text1"/>
                <w:u w:val="single" w:color="auto"/>
                <w:lang w:val="en-US" w:eastAsia="zh-CN"/>
                <w14:textFill>
                  <w14:solidFill>
                    <w14:schemeClr w14:val="tx1"/>
                  </w14:solidFill>
                </w14:textFill>
              </w:rPr>
              <w:t>3</w:t>
            </w:r>
            <w:r>
              <w:rPr>
                <w:rFonts w:hint="default" w:ascii="Times New Roman" w:hAnsi="Times New Roman" w:cs="Times New Roman"/>
                <w:bCs/>
                <w:color w:val="000000" w:themeColor="text1"/>
                <w:u w:val="single" w:color="auto"/>
                <w14:textFill>
                  <w14:solidFill>
                    <w14:schemeClr w14:val="tx1"/>
                  </w14:solidFill>
                </w14:textFill>
              </w:rPr>
              <w:t>0</w:t>
            </w:r>
            <w:r>
              <w:rPr>
                <w:rFonts w:hint="default" w:ascii="Times New Roman" w:hAnsi="Times New Roman" w:cs="Times New Roman"/>
                <w:bCs/>
                <w:color w:val="000000" w:themeColor="text1"/>
                <w14:textFill>
                  <w14:solidFill>
                    <w14:schemeClr w14:val="tx1"/>
                  </w14:solidFill>
                </w14:textFill>
              </w:rPr>
              <w:t>m³</w:t>
            </w:r>
          </w:p>
        </w:tc>
        <w:tc>
          <w:tcPr>
            <w:tcW w:w="1400" w:type="pct"/>
            <w:gridSpan w:val="3"/>
            <w:vMerge w:val="restart"/>
            <w:vAlign w:val="center"/>
          </w:tcPr>
          <w:p w14:paraId="69ABCA27">
            <w:pPr>
              <w:pStyle w:val="11"/>
              <w:widowControl w:val="0"/>
              <w:snapToGrid w:val="0"/>
              <w:spacing w:line="240" w:lineRule="auto"/>
              <w:rPr>
                <w:rStyle w:val="5"/>
                <w:rFonts w:hint="default" w:ascii="Times New Roman" w:hAnsi="Times New Roman" w:eastAsia="宋体" w:cs="Times New Roman"/>
                <w:color w:val="auto"/>
                <w:lang w:eastAsia="zh-CN"/>
              </w:rPr>
            </w:pPr>
            <w:r>
              <w:rPr>
                <w:rFonts w:hint="default" w:ascii="Times New Roman" w:hAnsi="Times New Roman" w:cs="Times New Roman"/>
                <w:bCs/>
                <w:color w:val="auto"/>
              </w:rPr>
              <w:t>是否为双层罐：是</w:t>
            </w:r>
            <w:r>
              <w:rPr>
                <w:rFonts w:hint="default" w:ascii="Times New Roman" w:hAnsi="Times New Roman" w:cs="Times New Roman"/>
                <w:bCs/>
                <w:color w:val="auto"/>
                <w:lang w:eastAsia="zh-CN"/>
              </w:rPr>
              <w:t>☑</w:t>
            </w:r>
            <w:r>
              <w:rPr>
                <w:rFonts w:hint="default" w:ascii="Times New Roman" w:hAnsi="Times New Roman" w:cs="Times New Roman"/>
                <w:bCs/>
                <w:color w:val="auto"/>
              </w:rPr>
              <w:t>否</w:t>
            </w:r>
            <w:r>
              <w:rPr>
                <w:rFonts w:hint="default" w:ascii="Times New Roman" w:hAnsi="Times New Roman" w:cs="Times New Roman"/>
                <w:bCs/>
                <w:color w:val="auto"/>
                <w:lang w:eastAsia="zh-CN"/>
              </w:rPr>
              <w:t>□</w:t>
            </w:r>
          </w:p>
          <w:p w14:paraId="426C3963">
            <w:pPr>
              <w:pStyle w:val="11"/>
              <w:widowControl w:val="0"/>
              <w:snapToGrid w:val="0"/>
              <w:spacing w:line="240" w:lineRule="auto"/>
              <w:rPr>
                <w:rFonts w:hint="default" w:ascii="Times New Roman" w:hAnsi="Times New Roman" w:cs="Times New Roman"/>
                <w:color w:val="auto"/>
                <w:vertAlign w:val="superscript"/>
              </w:rPr>
            </w:pPr>
            <w:r>
              <w:rPr>
                <w:rFonts w:hint="default" w:ascii="Times New Roman" w:hAnsi="Times New Roman" w:cs="Times New Roman"/>
                <w:color w:val="auto"/>
              </w:rPr>
              <w:t>储存能力：</w:t>
            </w:r>
            <w:r>
              <w:rPr>
                <w:rFonts w:hint="eastAsia" w:cs="Times New Roman"/>
                <w:color w:val="auto"/>
                <w:lang w:val="en-US" w:eastAsia="zh-CN"/>
              </w:rPr>
              <w:t>120</w:t>
            </w:r>
            <w:r>
              <w:rPr>
                <w:rFonts w:hint="default" w:ascii="Times New Roman" w:hAnsi="Times New Roman" w:cs="Times New Roman"/>
                <w:bCs/>
                <w:color w:val="auto"/>
              </w:rPr>
              <w:t>m</w:t>
            </w:r>
            <w:r>
              <w:rPr>
                <w:rFonts w:hint="default" w:ascii="Times New Roman" w:hAnsi="Times New Roman" w:cs="Times New Roman"/>
                <w:color w:val="auto"/>
                <w:vertAlign w:val="superscript"/>
              </w:rPr>
              <w:t>3</w:t>
            </w:r>
          </w:p>
        </w:tc>
      </w:tr>
      <w:tr w14:paraId="578E5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continue"/>
            <w:vAlign w:val="center"/>
          </w:tcPr>
          <w:p w14:paraId="1E5E774D">
            <w:pPr>
              <w:pStyle w:val="11"/>
              <w:widowControl w:val="0"/>
              <w:spacing w:line="360" w:lineRule="auto"/>
              <w:rPr>
                <w:rFonts w:hint="default" w:ascii="Times New Roman" w:hAnsi="Times New Roman" w:cs="Times New Roman"/>
                <w:bCs/>
                <w:color w:val="auto"/>
              </w:rPr>
            </w:pPr>
          </w:p>
        </w:tc>
        <w:tc>
          <w:tcPr>
            <w:tcW w:w="770" w:type="pct"/>
            <w:vAlign w:val="center"/>
          </w:tcPr>
          <w:p w14:paraId="4442F742">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柴油</w:t>
            </w:r>
          </w:p>
        </w:tc>
        <w:tc>
          <w:tcPr>
            <w:tcW w:w="2058" w:type="pct"/>
            <w:gridSpan w:val="5"/>
            <w:vAlign w:val="center"/>
          </w:tcPr>
          <w:p w14:paraId="18E60963">
            <w:pPr>
              <w:pStyle w:val="11"/>
              <w:widowControl w:val="0"/>
              <w:spacing w:line="360" w:lineRule="auto"/>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rPr>
              <w:t>共</w:t>
            </w:r>
            <w:r>
              <w:rPr>
                <w:rFonts w:hint="eastAsia" w:cs="Times New Roman"/>
                <w:bCs/>
                <w:color w:val="auto"/>
                <w:lang w:val="en-US" w:eastAsia="zh-CN"/>
              </w:rPr>
              <w:t>2</w:t>
            </w:r>
            <w:r>
              <w:rPr>
                <w:rFonts w:hint="default" w:ascii="Times New Roman" w:hAnsi="Times New Roman" w:cs="Times New Roman"/>
                <w:bCs/>
                <w:color w:val="auto"/>
              </w:rPr>
              <w:t>个柴油罐，</w:t>
            </w:r>
            <w:r>
              <w:rPr>
                <w:rFonts w:hint="eastAsia" w:ascii="Times New Roman" w:hAnsi="Times New Roman" w:cs="Times New Roman"/>
                <w:bCs/>
                <w:color w:val="auto"/>
                <w:lang w:val="en-US" w:eastAsia="zh-CN"/>
              </w:rPr>
              <w:t>柴油</w:t>
            </w:r>
            <w:r>
              <w:rPr>
                <w:rFonts w:hint="default" w:ascii="Times New Roman" w:hAnsi="Times New Roman" w:cs="Times New Roman"/>
                <w:bCs/>
                <w:color w:val="auto"/>
              </w:rPr>
              <w:t>罐容积为</w:t>
            </w:r>
            <w:r>
              <w:rPr>
                <w:rFonts w:hint="default" w:ascii="Times New Roman" w:hAnsi="Times New Roman" w:cs="Times New Roman"/>
                <w:bCs/>
                <w:color w:val="auto"/>
                <w:u w:val="single"/>
                <w:lang w:val="en-US" w:eastAsia="zh-CN"/>
              </w:rPr>
              <w:t>3</w:t>
            </w:r>
            <w:r>
              <w:rPr>
                <w:rFonts w:hint="default" w:ascii="Times New Roman" w:hAnsi="Times New Roman" w:cs="Times New Roman"/>
                <w:bCs/>
                <w:color w:val="auto"/>
                <w:u w:val="single"/>
              </w:rPr>
              <w:t>0</w:t>
            </w:r>
            <w:r>
              <w:rPr>
                <w:rFonts w:hint="default" w:ascii="Times New Roman" w:hAnsi="Times New Roman" w:cs="Times New Roman"/>
                <w:bCs/>
                <w:color w:val="auto"/>
              </w:rPr>
              <w:t>m³</w:t>
            </w:r>
          </w:p>
        </w:tc>
        <w:tc>
          <w:tcPr>
            <w:tcW w:w="1400" w:type="pct"/>
            <w:gridSpan w:val="3"/>
            <w:vMerge w:val="continue"/>
            <w:vAlign w:val="center"/>
          </w:tcPr>
          <w:p w14:paraId="5DFA6894">
            <w:pPr>
              <w:pStyle w:val="11"/>
              <w:widowControl w:val="0"/>
              <w:spacing w:line="360" w:lineRule="auto"/>
              <w:rPr>
                <w:rFonts w:hint="default" w:ascii="Times New Roman" w:hAnsi="Times New Roman" w:cs="Times New Roman"/>
                <w:bCs/>
                <w:color w:val="auto"/>
              </w:rPr>
            </w:pPr>
          </w:p>
        </w:tc>
      </w:tr>
      <w:tr w14:paraId="2F6758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restart"/>
            <w:vAlign w:val="center"/>
          </w:tcPr>
          <w:p w14:paraId="06F39EEF">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加油设施</w:t>
            </w:r>
          </w:p>
        </w:tc>
        <w:tc>
          <w:tcPr>
            <w:tcW w:w="770" w:type="pct"/>
            <w:vAlign w:val="center"/>
          </w:tcPr>
          <w:p w14:paraId="4373BBF6">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加油机</w:t>
            </w:r>
          </w:p>
        </w:tc>
        <w:tc>
          <w:tcPr>
            <w:tcW w:w="3458" w:type="pct"/>
            <w:gridSpan w:val="8"/>
            <w:vAlign w:val="center"/>
          </w:tcPr>
          <w:p w14:paraId="41212C4B">
            <w:pPr>
              <w:pStyle w:val="11"/>
              <w:widowControl w:val="0"/>
              <w:spacing w:line="360" w:lineRule="auto"/>
              <w:rPr>
                <w:rFonts w:hint="default" w:ascii="Times New Roman" w:hAnsi="Times New Roman" w:eastAsia="宋体" w:cs="Times New Roman"/>
                <w:bCs/>
                <w:color w:val="auto"/>
                <w:lang w:eastAsia="zh-CN"/>
              </w:rPr>
            </w:pPr>
            <w:r>
              <w:rPr>
                <w:rFonts w:hint="eastAsia" w:cs="Times New Roman"/>
                <w:bCs/>
                <w:color w:val="000000" w:themeColor="text1"/>
                <w:lang w:val="en-US" w:eastAsia="zh-CN"/>
                <w14:textFill>
                  <w14:solidFill>
                    <w14:schemeClr w14:val="tx1"/>
                  </w14:solidFill>
                </w14:textFill>
              </w:rPr>
              <w:t>4</w:t>
            </w:r>
            <w:r>
              <w:rPr>
                <w:rFonts w:hint="default" w:ascii="Times New Roman" w:hAnsi="Times New Roman" w:cs="Times New Roman"/>
                <w:bCs/>
                <w:color w:val="000000" w:themeColor="text1"/>
                <w14:textFill>
                  <w14:solidFill>
                    <w14:schemeClr w14:val="tx1"/>
                  </w14:solidFill>
                </w14:textFill>
              </w:rPr>
              <w:t>台加油机</w:t>
            </w:r>
            <w:r>
              <w:rPr>
                <w:rFonts w:hint="eastAsia" w:ascii="Times New Roman" w:hAnsi="Times New Roman" w:cs="Times New Roman"/>
                <w:bCs/>
                <w:color w:val="000000" w:themeColor="text1"/>
                <w:lang w:eastAsia="zh-CN"/>
                <w14:textFill>
                  <w14:solidFill>
                    <w14:schemeClr w14:val="tx1"/>
                  </w14:solidFill>
                </w14:textFill>
              </w:rPr>
              <w:t>（</w:t>
            </w:r>
            <w:r>
              <w:rPr>
                <w:rFonts w:hint="eastAsia" w:cs="Times New Roman"/>
                <w:bCs/>
                <w:color w:val="000000" w:themeColor="text1"/>
                <w:lang w:val="en-US" w:eastAsia="zh-CN"/>
                <w14:textFill>
                  <w14:solidFill>
                    <w14:schemeClr w14:val="tx1"/>
                  </w14:solidFill>
                </w14:textFill>
              </w:rPr>
              <w:t>其中汽油加油机</w:t>
            </w:r>
            <w:r>
              <w:rPr>
                <w:rFonts w:hint="eastAsia" w:ascii="Times New Roman" w:hAnsi="Times New Roman" w:cs="Times New Roman"/>
                <w:bCs/>
                <w:color w:val="000000" w:themeColor="text1"/>
                <w:lang w:val="en-US" w:eastAsia="zh-CN"/>
                <w14:textFill>
                  <w14:solidFill>
                    <w14:schemeClr w14:val="tx1"/>
                  </w14:solidFill>
                </w14:textFill>
              </w:rPr>
              <w:t>均为</w:t>
            </w:r>
            <w:r>
              <w:rPr>
                <w:rFonts w:hint="default" w:ascii="Times New Roman" w:hAnsi="Times New Roman" w:cs="Times New Roman"/>
                <w:bCs/>
                <w:color w:val="000000" w:themeColor="text1"/>
                <w:lang w:val="en-US" w:eastAsia="zh-CN"/>
                <w14:textFill>
                  <w14:solidFill>
                    <w14:schemeClr w14:val="tx1"/>
                  </w14:solidFill>
                </w14:textFill>
              </w:rPr>
              <w:t>双枪</w:t>
            </w:r>
            <w:r>
              <w:rPr>
                <w:rFonts w:hint="eastAsia" w:ascii="Times New Roman" w:hAnsi="Times New Roman" w:cs="Times New Roman"/>
                <w:bCs/>
                <w:color w:val="000000" w:themeColor="text1"/>
                <w:lang w:val="en-US" w:eastAsia="zh-CN"/>
                <w14:textFill>
                  <w14:solidFill>
                    <w14:schemeClr w14:val="tx1"/>
                  </w14:solidFill>
                </w14:textFill>
              </w:rPr>
              <w:t>双</w:t>
            </w:r>
            <w:r>
              <w:rPr>
                <w:rFonts w:hint="default" w:ascii="Times New Roman" w:hAnsi="Times New Roman" w:cs="Times New Roman"/>
                <w:bCs/>
                <w:color w:val="000000" w:themeColor="text1"/>
                <w:lang w:val="en-US" w:eastAsia="zh-CN"/>
                <w14:textFill>
                  <w14:solidFill>
                    <w14:schemeClr w14:val="tx1"/>
                  </w14:solidFill>
                </w14:textFill>
              </w:rPr>
              <w:t>油品，</w:t>
            </w:r>
            <w:r>
              <w:rPr>
                <w:rFonts w:hint="eastAsia" w:cs="Times New Roman"/>
                <w:bCs/>
                <w:color w:val="000000" w:themeColor="text1"/>
                <w:lang w:val="en-US" w:eastAsia="zh-CN"/>
                <w14:textFill>
                  <w14:solidFill>
                    <w14:schemeClr w14:val="tx1"/>
                  </w14:solidFill>
                </w14:textFill>
              </w:rPr>
              <w:t>4</w:t>
            </w:r>
            <w:r>
              <w:rPr>
                <w:rFonts w:hint="default" w:ascii="Times New Roman" w:hAnsi="Times New Roman" w:cs="Times New Roman"/>
                <w:bCs/>
                <w:color w:val="000000" w:themeColor="text1"/>
                <w:lang w:val="en-US" w:eastAsia="zh-CN"/>
                <w14:textFill>
                  <w14:solidFill>
                    <w14:schemeClr w14:val="tx1"/>
                  </w14:solidFill>
                </w14:textFill>
              </w:rPr>
              <w:t>台均为非自助</w:t>
            </w:r>
            <w:r>
              <w:rPr>
                <w:rFonts w:hint="default" w:ascii="Times New Roman" w:hAnsi="Times New Roman" w:cs="Times New Roman"/>
                <w:bCs/>
                <w:color w:val="000000" w:themeColor="text1"/>
                <w:lang w:eastAsia="zh-CN"/>
                <w14:textFill>
                  <w14:solidFill>
                    <w14:schemeClr w14:val="tx1"/>
                  </w14:solidFill>
                </w14:textFill>
              </w:rPr>
              <w:t>）</w:t>
            </w:r>
          </w:p>
        </w:tc>
      </w:tr>
      <w:tr w14:paraId="26F749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continue"/>
            <w:vAlign w:val="center"/>
          </w:tcPr>
          <w:p w14:paraId="5FA7C2C7">
            <w:pPr>
              <w:pStyle w:val="11"/>
              <w:widowControl w:val="0"/>
              <w:spacing w:line="360" w:lineRule="auto"/>
              <w:rPr>
                <w:rFonts w:hint="default" w:ascii="Times New Roman" w:hAnsi="Times New Roman" w:cs="Times New Roman"/>
                <w:bCs/>
                <w:color w:val="auto"/>
              </w:rPr>
            </w:pPr>
          </w:p>
        </w:tc>
        <w:tc>
          <w:tcPr>
            <w:tcW w:w="770" w:type="pct"/>
            <w:vAlign w:val="center"/>
          </w:tcPr>
          <w:p w14:paraId="559EDB8A">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加油方式</w:t>
            </w:r>
          </w:p>
        </w:tc>
        <w:tc>
          <w:tcPr>
            <w:tcW w:w="3458" w:type="pct"/>
            <w:gridSpan w:val="8"/>
            <w:vAlign w:val="center"/>
          </w:tcPr>
          <w:p w14:paraId="4F9AF5C5">
            <w:pPr>
              <w:pStyle w:val="11"/>
              <w:widowControl w:val="0"/>
              <w:spacing w:line="360" w:lineRule="auto"/>
              <w:rPr>
                <w:rFonts w:hint="default" w:ascii="Times New Roman" w:hAnsi="Times New Roman" w:eastAsia="宋体" w:cs="Times New Roman"/>
                <w:bCs/>
                <w:color w:val="auto"/>
                <w:lang w:eastAsia="zh-CN"/>
              </w:rPr>
            </w:pPr>
            <w:r>
              <w:rPr>
                <w:rFonts w:hint="default" w:ascii="Times New Roman" w:hAnsi="Times New Roman" w:cs="Times New Roman"/>
                <w:bCs/>
                <w:color w:val="auto"/>
              </w:rPr>
              <w:t>潜油泵式</w:t>
            </w:r>
            <w:r>
              <w:rPr>
                <w:rFonts w:hint="default" w:ascii="Times New Roman" w:hAnsi="Times New Roman" w:cs="Times New Roman"/>
                <w:bCs/>
                <w:color w:val="auto"/>
                <w:lang w:eastAsia="zh-CN"/>
              </w:rPr>
              <w:t>□</w:t>
            </w:r>
            <w:r>
              <w:rPr>
                <w:rFonts w:hint="default" w:ascii="Times New Roman" w:hAnsi="Times New Roman" w:cs="Times New Roman"/>
                <w:bCs/>
                <w:color w:val="auto"/>
              </w:rPr>
              <w:t xml:space="preserve"> 自吸式</w:t>
            </w:r>
            <w:r>
              <w:rPr>
                <w:rFonts w:hint="default" w:ascii="Times New Roman" w:hAnsi="Times New Roman" w:cs="Times New Roman"/>
                <w:bCs/>
                <w:color w:val="auto"/>
                <w:lang w:eastAsia="zh-CN"/>
              </w:rPr>
              <w:t>☑</w:t>
            </w:r>
          </w:p>
        </w:tc>
      </w:tr>
      <w:tr w14:paraId="671A86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restart"/>
            <w:vAlign w:val="center"/>
          </w:tcPr>
          <w:p w14:paraId="589C09C3">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消防设施</w:t>
            </w:r>
          </w:p>
        </w:tc>
        <w:tc>
          <w:tcPr>
            <w:tcW w:w="770" w:type="pct"/>
            <w:vAlign w:val="center"/>
          </w:tcPr>
          <w:p w14:paraId="246122BC">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推车式35</w:t>
            </w:r>
            <w:r>
              <w:rPr>
                <w:rFonts w:hint="default" w:ascii="Times New Roman" w:hAnsi="Times New Roman" w:cs="Times New Roman"/>
                <w:color w:val="auto"/>
              </w:rPr>
              <w:t xml:space="preserve"> kg</w:t>
            </w:r>
            <w:r>
              <w:rPr>
                <w:rFonts w:hint="default" w:ascii="Times New Roman" w:hAnsi="Times New Roman" w:cs="Times New Roman"/>
                <w:bCs/>
                <w:color w:val="auto"/>
              </w:rPr>
              <w:t>干粉灭火器</w:t>
            </w:r>
          </w:p>
        </w:tc>
        <w:tc>
          <w:tcPr>
            <w:tcW w:w="586" w:type="pct"/>
            <w:gridSpan w:val="2"/>
            <w:vAlign w:val="center"/>
          </w:tcPr>
          <w:p w14:paraId="248C9FA7">
            <w:pPr>
              <w:pStyle w:val="11"/>
              <w:widowControl w:val="0"/>
              <w:spacing w:line="360" w:lineRule="auto"/>
              <w:rPr>
                <w:rFonts w:hint="default" w:ascii="Times New Roman" w:hAnsi="Times New Roman" w:cs="Times New Roman"/>
                <w:bCs/>
                <w:color w:val="auto"/>
              </w:rPr>
            </w:pPr>
            <w:r>
              <w:rPr>
                <w:rFonts w:hint="eastAsia" w:cs="Times New Roman"/>
                <w:bCs/>
                <w:color w:val="auto"/>
                <w:lang w:val="en-US" w:eastAsia="zh-CN"/>
              </w:rPr>
              <w:t>1</w:t>
            </w:r>
            <w:r>
              <w:rPr>
                <w:rFonts w:hint="default" w:ascii="Times New Roman" w:hAnsi="Times New Roman" w:cs="Times New Roman"/>
                <w:bCs/>
                <w:color w:val="auto"/>
              </w:rPr>
              <w:t>具</w:t>
            </w:r>
          </w:p>
        </w:tc>
        <w:tc>
          <w:tcPr>
            <w:tcW w:w="685" w:type="pct"/>
            <w:vAlign w:val="center"/>
          </w:tcPr>
          <w:p w14:paraId="035314D2">
            <w:pPr>
              <w:pStyle w:val="11"/>
              <w:widowControl w:val="0"/>
              <w:spacing w:line="360" w:lineRule="auto"/>
              <w:rPr>
                <w:rFonts w:hint="default" w:ascii="Times New Roman" w:hAnsi="Times New Roman" w:cs="Times New Roman"/>
                <w:bCs/>
                <w:color w:val="auto"/>
              </w:rPr>
            </w:pPr>
            <w:r>
              <w:rPr>
                <w:rFonts w:hint="eastAsia" w:ascii="Times New Roman" w:hAnsi="Times New Roman" w:cs="Times New Roman"/>
                <w:bCs/>
                <w:color w:val="auto"/>
                <w:lang w:val="en-US" w:eastAsia="zh-CN"/>
              </w:rPr>
              <w:t>5</w:t>
            </w:r>
            <w:r>
              <w:rPr>
                <w:rFonts w:hint="default" w:ascii="Times New Roman" w:hAnsi="Times New Roman" w:cs="Times New Roman"/>
                <w:bCs/>
                <w:color w:val="auto"/>
              </w:rPr>
              <w:t>kg手提式干粉灭火器</w:t>
            </w:r>
          </w:p>
        </w:tc>
        <w:tc>
          <w:tcPr>
            <w:tcW w:w="785" w:type="pct"/>
            <w:gridSpan w:val="2"/>
            <w:vAlign w:val="center"/>
          </w:tcPr>
          <w:p w14:paraId="4DED9BB7">
            <w:pPr>
              <w:pStyle w:val="11"/>
              <w:widowControl w:val="0"/>
              <w:spacing w:line="360" w:lineRule="auto"/>
              <w:rPr>
                <w:rFonts w:hint="default" w:ascii="Times New Roman" w:hAnsi="Times New Roman" w:cs="Times New Roman"/>
                <w:color w:val="auto"/>
              </w:rPr>
            </w:pPr>
            <w:r>
              <w:rPr>
                <w:rFonts w:hint="eastAsia" w:cs="Times New Roman"/>
                <w:color w:val="auto"/>
                <w:lang w:val="en-US" w:eastAsia="zh-CN"/>
              </w:rPr>
              <w:t>10</w:t>
            </w:r>
            <w:r>
              <w:rPr>
                <w:rFonts w:hint="default" w:ascii="Times New Roman" w:hAnsi="Times New Roman" w:cs="Times New Roman"/>
                <w:color w:val="auto"/>
              </w:rPr>
              <w:t>具</w:t>
            </w:r>
          </w:p>
        </w:tc>
        <w:tc>
          <w:tcPr>
            <w:tcW w:w="684" w:type="pct"/>
            <w:gridSpan w:val="2"/>
            <w:vAlign w:val="center"/>
          </w:tcPr>
          <w:p w14:paraId="43EB9FD8">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CO</w:t>
            </w:r>
            <w:r>
              <w:rPr>
                <w:rFonts w:hint="default" w:ascii="Times New Roman" w:hAnsi="Times New Roman" w:cs="Times New Roman"/>
                <w:bCs/>
                <w:color w:val="auto"/>
                <w:vertAlign w:val="subscript"/>
              </w:rPr>
              <w:t>2</w:t>
            </w:r>
            <w:r>
              <w:rPr>
                <w:rFonts w:hint="default" w:ascii="Times New Roman" w:hAnsi="Times New Roman" w:cs="Times New Roman"/>
                <w:bCs/>
                <w:color w:val="auto"/>
              </w:rPr>
              <w:t>灭火器</w:t>
            </w:r>
          </w:p>
        </w:tc>
        <w:tc>
          <w:tcPr>
            <w:tcW w:w="715" w:type="pct"/>
            <w:vAlign w:val="center"/>
          </w:tcPr>
          <w:p w14:paraId="3FC8382B">
            <w:pPr>
              <w:pStyle w:val="11"/>
              <w:widowControl w:val="0"/>
              <w:spacing w:line="360" w:lineRule="auto"/>
              <w:rPr>
                <w:rFonts w:hint="default" w:ascii="Times New Roman" w:hAnsi="Times New Roman" w:eastAsia="宋体" w:cs="Times New Roman"/>
                <w:bCs/>
                <w:color w:val="auto"/>
                <w:lang w:eastAsia="zh-CN"/>
              </w:rPr>
            </w:pPr>
            <w:r>
              <w:rPr>
                <w:rFonts w:hint="eastAsia" w:cs="Times New Roman"/>
                <w:bCs/>
                <w:color w:val="auto"/>
                <w:lang w:val="en-US" w:eastAsia="zh-CN"/>
              </w:rPr>
              <w:t>6</w:t>
            </w:r>
            <w:r>
              <w:rPr>
                <w:rFonts w:hint="default" w:ascii="Times New Roman" w:hAnsi="Times New Roman" w:cs="Times New Roman"/>
                <w:bCs/>
                <w:color w:val="auto"/>
                <w:lang w:val="en-US" w:eastAsia="zh-CN"/>
              </w:rPr>
              <w:t>具</w:t>
            </w:r>
          </w:p>
        </w:tc>
      </w:tr>
      <w:tr w14:paraId="24AE3B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continue"/>
            <w:vAlign w:val="center"/>
          </w:tcPr>
          <w:p w14:paraId="33CCC4B8">
            <w:pPr>
              <w:pStyle w:val="11"/>
              <w:widowControl w:val="0"/>
              <w:spacing w:line="360" w:lineRule="auto"/>
              <w:rPr>
                <w:rFonts w:hint="default" w:ascii="Times New Roman" w:hAnsi="Times New Roman" w:cs="Times New Roman"/>
                <w:bCs/>
                <w:color w:val="auto"/>
              </w:rPr>
            </w:pPr>
          </w:p>
        </w:tc>
        <w:tc>
          <w:tcPr>
            <w:tcW w:w="770" w:type="pct"/>
            <w:vAlign w:val="center"/>
          </w:tcPr>
          <w:p w14:paraId="3072C99F">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灭火毯</w:t>
            </w:r>
          </w:p>
        </w:tc>
        <w:tc>
          <w:tcPr>
            <w:tcW w:w="586" w:type="pct"/>
            <w:gridSpan w:val="2"/>
            <w:vAlign w:val="center"/>
          </w:tcPr>
          <w:p w14:paraId="5557884D">
            <w:pPr>
              <w:pStyle w:val="11"/>
              <w:widowControl w:val="0"/>
              <w:spacing w:line="360" w:lineRule="auto"/>
              <w:rPr>
                <w:rFonts w:hint="default" w:ascii="Times New Roman" w:hAnsi="Times New Roman" w:cs="Times New Roman"/>
                <w:bCs/>
                <w:color w:val="auto"/>
              </w:rPr>
            </w:pPr>
            <w:r>
              <w:rPr>
                <w:rFonts w:hint="eastAsia" w:cs="Times New Roman"/>
                <w:bCs/>
                <w:color w:val="auto"/>
                <w:lang w:val="en-US" w:eastAsia="zh-CN"/>
              </w:rPr>
              <w:t>6</w:t>
            </w:r>
            <w:r>
              <w:rPr>
                <w:rFonts w:hint="default" w:ascii="Times New Roman" w:hAnsi="Times New Roman" w:cs="Times New Roman"/>
                <w:bCs/>
                <w:color w:val="auto"/>
              </w:rPr>
              <w:t>块</w:t>
            </w:r>
          </w:p>
        </w:tc>
        <w:tc>
          <w:tcPr>
            <w:tcW w:w="685" w:type="pct"/>
            <w:vAlign w:val="center"/>
          </w:tcPr>
          <w:p w14:paraId="6B402A8C">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消防锨</w:t>
            </w:r>
          </w:p>
        </w:tc>
        <w:tc>
          <w:tcPr>
            <w:tcW w:w="785" w:type="pct"/>
            <w:gridSpan w:val="2"/>
            <w:vAlign w:val="center"/>
          </w:tcPr>
          <w:p w14:paraId="73721641">
            <w:pPr>
              <w:pStyle w:val="11"/>
              <w:widowControl w:val="0"/>
              <w:spacing w:line="360" w:lineRule="auto"/>
              <w:rPr>
                <w:rFonts w:hint="default" w:ascii="Times New Roman" w:hAnsi="Times New Roman" w:cs="Times New Roman"/>
                <w:bCs/>
                <w:color w:val="auto"/>
              </w:rPr>
            </w:pPr>
            <w:r>
              <w:rPr>
                <w:rFonts w:hint="eastAsia" w:cs="Times New Roman"/>
                <w:bCs/>
                <w:color w:val="auto"/>
                <w:lang w:val="en-US" w:eastAsia="zh-CN"/>
              </w:rPr>
              <w:t>2</w:t>
            </w:r>
            <w:r>
              <w:rPr>
                <w:rFonts w:hint="default" w:ascii="Times New Roman" w:hAnsi="Times New Roman" w:cs="Times New Roman"/>
                <w:bCs/>
                <w:color w:val="auto"/>
              </w:rPr>
              <w:t>把</w:t>
            </w:r>
          </w:p>
        </w:tc>
        <w:tc>
          <w:tcPr>
            <w:tcW w:w="684" w:type="pct"/>
            <w:gridSpan w:val="2"/>
            <w:vAlign w:val="center"/>
          </w:tcPr>
          <w:p w14:paraId="11317AB2">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消防桶</w:t>
            </w:r>
          </w:p>
        </w:tc>
        <w:tc>
          <w:tcPr>
            <w:tcW w:w="715" w:type="pct"/>
            <w:vAlign w:val="center"/>
          </w:tcPr>
          <w:p w14:paraId="0931A400">
            <w:pPr>
              <w:pStyle w:val="11"/>
              <w:widowControl w:val="0"/>
              <w:spacing w:line="360" w:lineRule="auto"/>
              <w:rPr>
                <w:rFonts w:hint="default" w:ascii="Times New Roman" w:hAnsi="Times New Roman" w:cs="Times New Roman"/>
                <w:bCs/>
                <w:color w:val="auto"/>
              </w:rPr>
            </w:pPr>
            <w:r>
              <w:rPr>
                <w:rFonts w:hint="eastAsia" w:ascii="Times New Roman" w:hAnsi="Times New Roman" w:cs="Times New Roman"/>
                <w:bCs/>
                <w:color w:val="auto"/>
                <w:lang w:val="en-US" w:eastAsia="zh-CN"/>
              </w:rPr>
              <w:t>2</w:t>
            </w:r>
            <w:r>
              <w:rPr>
                <w:rFonts w:hint="default" w:ascii="Times New Roman" w:hAnsi="Times New Roman" w:cs="Times New Roman"/>
                <w:bCs/>
                <w:color w:val="auto"/>
              </w:rPr>
              <w:t>个</w:t>
            </w:r>
          </w:p>
        </w:tc>
      </w:tr>
      <w:tr w14:paraId="493BA3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71" w:type="pct"/>
            <w:vMerge w:val="continue"/>
            <w:vAlign w:val="center"/>
          </w:tcPr>
          <w:p w14:paraId="73F12C15">
            <w:pPr>
              <w:pStyle w:val="11"/>
              <w:widowControl w:val="0"/>
              <w:spacing w:line="360" w:lineRule="auto"/>
              <w:rPr>
                <w:rFonts w:hint="default" w:ascii="Times New Roman" w:hAnsi="Times New Roman" w:cs="Times New Roman"/>
                <w:bCs/>
                <w:color w:val="auto"/>
              </w:rPr>
            </w:pPr>
          </w:p>
        </w:tc>
        <w:tc>
          <w:tcPr>
            <w:tcW w:w="770" w:type="pct"/>
            <w:vAlign w:val="center"/>
          </w:tcPr>
          <w:p w14:paraId="36A513E1">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rPr>
              <w:t>消防沙池</w:t>
            </w:r>
          </w:p>
        </w:tc>
        <w:tc>
          <w:tcPr>
            <w:tcW w:w="3458" w:type="pct"/>
            <w:gridSpan w:val="8"/>
            <w:vAlign w:val="center"/>
          </w:tcPr>
          <w:p w14:paraId="58F394B6">
            <w:pPr>
              <w:pStyle w:val="11"/>
              <w:widowControl w:val="0"/>
              <w:spacing w:line="360" w:lineRule="auto"/>
              <w:rPr>
                <w:rFonts w:hint="default" w:ascii="Times New Roman" w:hAnsi="Times New Roman" w:cs="Times New Roman"/>
                <w:bCs/>
                <w:color w:val="auto"/>
              </w:rPr>
            </w:pPr>
            <w:r>
              <w:rPr>
                <w:rFonts w:hint="default" w:ascii="Times New Roman" w:hAnsi="Times New Roman" w:cs="Times New Roman"/>
                <w:bCs/>
                <w:color w:val="auto"/>
                <w:lang w:val="en-US" w:eastAsia="zh-CN"/>
              </w:rPr>
              <w:t>2</w:t>
            </w:r>
            <w:r>
              <w:rPr>
                <w:rFonts w:hint="default" w:ascii="Times New Roman" w:hAnsi="Times New Roman" w:cs="Times New Roman"/>
                <w:bCs/>
                <w:color w:val="auto"/>
              </w:rPr>
              <w:t>m</w:t>
            </w:r>
            <w:r>
              <w:rPr>
                <w:rFonts w:hint="default" w:ascii="Times New Roman" w:hAnsi="Times New Roman" w:cs="Times New Roman"/>
                <w:bCs/>
                <w:color w:val="auto"/>
                <w:vertAlign w:val="superscript"/>
              </w:rPr>
              <w:t>3</w:t>
            </w:r>
          </w:p>
        </w:tc>
      </w:tr>
    </w:tbl>
    <w:p w14:paraId="01F51085">
      <w:pPr>
        <w:pStyle w:val="2"/>
        <w:rPr>
          <w:rFonts w:hint="eastAsia"/>
          <w:lang w:val="en-US" w:eastAsia="zh-CN"/>
        </w:rPr>
      </w:pPr>
    </w:p>
    <w:p w14:paraId="57829C2E">
      <w:pPr>
        <w:pStyle w:val="2"/>
        <w:rPr>
          <w:rFonts w:hint="eastAsia"/>
          <w:lang w:val="en-US" w:eastAsia="zh-CN"/>
        </w:rPr>
      </w:pPr>
    </w:p>
    <w:p w14:paraId="2D534B63">
      <w:pPr>
        <w:pStyle w:val="9"/>
        <w:widowControl w:val="0"/>
        <w:adjustRightInd w:val="0"/>
        <w:snapToGrid w:val="0"/>
        <w:spacing w:before="0" w:beforeLines="0" w:after="0" w:afterLines="0" w:line="360" w:lineRule="auto"/>
        <w:rPr>
          <w:color w:val="auto"/>
        </w:rPr>
      </w:pPr>
      <w:bookmarkStart w:id="15" w:name="_Toc102634255"/>
      <w:bookmarkStart w:id="16" w:name="_Toc102634406"/>
      <w:bookmarkStart w:id="17" w:name="_Toc102633906"/>
      <w:bookmarkStart w:id="18" w:name="_Toc102633980"/>
      <w:r>
        <w:rPr>
          <w:color w:val="auto"/>
        </w:rPr>
        <w:t>第四章 评价单元划分与评价方法选择</w:t>
      </w:r>
      <w:bookmarkEnd w:id="15"/>
      <w:bookmarkEnd w:id="16"/>
      <w:bookmarkEnd w:id="17"/>
      <w:bookmarkEnd w:id="18"/>
    </w:p>
    <w:p w14:paraId="0CFA60DF">
      <w:pPr>
        <w:snapToGrid w:val="0"/>
        <w:spacing w:line="360" w:lineRule="auto"/>
        <w:jc w:val="center"/>
        <w:outlineLvl w:val="1"/>
        <w:rPr>
          <w:rFonts w:ascii="Calibri" w:hAnsi="Calibri" w:eastAsia="楷体_GB2312"/>
          <w:b/>
          <w:color w:val="auto"/>
          <w:kern w:val="0"/>
          <w:sz w:val="32"/>
          <w:szCs w:val="20"/>
        </w:rPr>
      </w:pPr>
      <w:bookmarkStart w:id="19" w:name="_Toc7829"/>
      <w:bookmarkStart w:id="20" w:name="_Toc102633907"/>
      <w:bookmarkStart w:id="21" w:name="_Toc102634256"/>
      <w:bookmarkStart w:id="22" w:name="_Toc15033754"/>
      <w:bookmarkStart w:id="23" w:name="_Toc23543"/>
      <w:bookmarkStart w:id="24" w:name="_Toc102634407"/>
      <w:bookmarkStart w:id="25" w:name="_Toc102633981"/>
      <w:bookmarkStart w:id="26" w:name="_Toc238007574"/>
      <w:bookmarkStart w:id="27" w:name="_Toc192907201"/>
      <w:bookmarkStart w:id="28" w:name="_Toc198026273"/>
      <w:bookmarkStart w:id="29" w:name="_Toc272364536"/>
      <w:r>
        <w:rPr>
          <w:rFonts w:ascii="Calibri" w:hAnsi="Calibri" w:eastAsia="楷体_GB2312"/>
          <w:b/>
          <w:color w:val="auto"/>
          <w:kern w:val="0"/>
          <w:sz w:val="32"/>
          <w:szCs w:val="20"/>
        </w:rPr>
        <w:t>第一节 评价单元的划分</w:t>
      </w:r>
      <w:bookmarkEnd w:id="19"/>
      <w:bookmarkEnd w:id="20"/>
      <w:bookmarkEnd w:id="21"/>
      <w:bookmarkEnd w:id="22"/>
      <w:bookmarkEnd w:id="23"/>
      <w:bookmarkEnd w:id="24"/>
      <w:bookmarkEnd w:id="25"/>
      <w:bookmarkEnd w:id="26"/>
      <w:bookmarkEnd w:id="27"/>
      <w:bookmarkEnd w:id="28"/>
      <w:bookmarkEnd w:id="29"/>
    </w:p>
    <w:p w14:paraId="5239CF88">
      <w:pPr>
        <w:pStyle w:val="8"/>
        <w:widowControl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5EE624E6">
      <w:pPr>
        <w:pStyle w:val="13"/>
        <w:widowControl w:val="0"/>
        <w:spacing w:line="360" w:lineRule="auto"/>
        <w:ind w:firstLine="560"/>
        <w:jc w:val="both"/>
        <w:rPr>
          <w:color w:val="auto"/>
        </w:rPr>
      </w:pPr>
      <w:bookmarkStart w:id="30" w:name="_Toc102634257"/>
      <w:r>
        <w:rPr>
          <w:rFonts w:hint="eastAsia"/>
          <w:color w:val="auto"/>
        </w:rPr>
        <w:t>一</w:t>
      </w:r>
      <w:r>
        <w:rPr>
          <w:color w:val="auto"/>
        </w:rPr>
        <w:t>、以危险有害因素的类别为主划分评价单元</w:t>
      </w:r>
      <w:bookmarkEnd w:id="30"/>
    </w:p>
    <w:p w14:paraId="6C0E37D2">
      <w:pPr>
        <w:pStyle w:val="8"/>
        <w:widowControl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76022B5D">
      <w:pPr>
        <w:pStyle w:val="8"/>
        <w:widowControl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24CEF2FD">
      <w:pPr>
        <w:pStyle w:val="13"/>
        <w:widowControl w:val="0"/>
        <w:spacing w:line="360" w:lineRule="auto"/>
        <w:ind w:firstLine="560"/>
        <w:jc w:val="both"/>
        <w:rPr>
          <w:color w:val="auto"/>
        </w:rPr>
      </w:pPr>
      <w:bookmarkStart w:id="31" w:name="_Toc102634258"/>
      <w:r>
        <w:rPr>
          <w:rFonts w:hint="eastAsia"/>
          <w:color w:val="auto"/>
        </w:rPr>
        <w:t>二</w:t>
      </w:r>
      <w:r>
        <w:rPr>
          <w:color w:val="auto"/>
        </w:rPr>
        <w:t>、以物质特征划分评价单元</w:t>
      </w:r>
      <w:bookmarkEnd w:id="31"/>
    </w:p>
    <w:p w14:paraId="7543DE90">
      <w:pPr>
        <w:pStyle w:val="8"/>
        <w:widowControl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1ED4D24D">
      <w:pPr>
        <w:pStyle w:val="8"/>
        <w:widowControl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2913C64">
      <w:pPr>
        <w:pStyle w:val="8"/>
        <w:widowControl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根据上述常用的评价单元划分原则和方法，以及《安全评价通则》中关于安全评价报告主要内容和要求的规定结合该项目的特点和实际情况，将评价内容划分为以下四个单元：</w:t>
      </w:r>
    </w:p>
    <w:p w14:paraId="5F09E822">
      <w:pPr>
        <w:pStyle w:val="8"/>
        <w:widowControl w:val="0"/>
        <w:spacing w:line="360" w:lineRule="auto"/>
        <w:ind w:firstLine="560"/>
        <w:rPr>
          <w:rFonts w:ascii="宋体"/>
          <w:color w:val="auto"/>
        </w:rPr>
      </w:pPr>
      <w:r>
        <w:rPr>
          <w:rFonts w:ascii="宋体"/>
          <w:color w:val="auto"/>
        </w:rPr>
        <w:t>1、安全管理；</w:t>
      </w:r>
    </w:p>
    <w:p w14:paraId="0E35C396">
      <w:pPr>
        <w:pStyle w:val="8"/>
        <w:widowControl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16F98B1D">
      <w:pPr>
        <w:pStyle w:val="8"/>
        <w:widowControl w:val="0"/>
        <w:spacing w:line="360" w:lineRule="auto"/>
        <w:ind w:firstLine="560"/>
        <w:rPr>
          <w:rFonts w:ascii="宋体"/>
          <w:color w:val="auto"/>
        </w:rPr>
      </w:pPr>
      <w:r>
        <w:rPr>
          <w:rFonts w:ascii="宋体"/>
          <w:color w:val="auto"/>
        </w:rPr>
        <w:t>3、加油工艺及设施；</w:t>
      </w:r>
    </w:p>
    <w:p w14:paraId="4C2E9B16">
      <w:pPr>
        <w:pStyle w:val="8"/>
        <w:widowControl w:val="0"/>
        <w:spacing w:line="360" w:lineRule="auto"/>
        <w:ind w:firstLine="560"/>
        <w:rPr>
          <w:rFonts w:hint="eastAsia" w:ascii="宋体"/>
          <w:color w:val="auto"/>
        </w:rPr>
      </w:pPr>
      <w:r>
        <w:rPr>
          <w:rFonts w:ascii="宋体"/>
          <w:color w:val="auto"/>
        </w:rPr>
        <w:t>4、其它安全设施等。</w:t>
      </w:r>
      <w:bookmarkStart w:id="32" w:name="_Toc192907202"/>
      <w:bookmarkStart w:id="33" w:name="_Toc188079886"/>
      <w:bookmarkStart w:id="34" w:name="_Toc15033755"/>
      <w:bookmarkStart w:id="35" w:name="_Toc24232"/>
      <w:bookmarkStart w:id="36" w:name="_Toc198026274"/>
      <w:bookmarkStart w:id="37" w:name="_Toc188080068"/>
      <w:bookmarkStart w:id="38" w:name="_Toc272364537"/>
      <w:bookmarkStart w:id="39" w:name="_Toc19785"/>
      <w:bookmarkStart w:id="40" w:name="_Toc238007575"/>
    </w:p>
    <w:p w14:paraId="37EB5A4F">
      <w:pPr>
        <w:snapToGrid w:val="0"/>
        <w:spacing w:before="120" w:after="120" w:line="560" w:lineRule="exact"/>
        <w:jc w:val="center"/>
        <w:outlineLvl w:val="1"/>
        <w:rPr>
          <w:rFonts w:ascii="Calibri" w:hAnsi="Calibri" w:eastAsia="楷体_GB2312"/>
          <w:b/>
          <w:color w:val="auto"/>
          <w:kern w:val="0"/>
          <w:sz w:val="32"/>
          <w:szCs w:val="20"/>
        </w:rPr>
      </w:pPr>
      <w:bookmarkStart w:id="41" w:name="_Toc102633982"/>
      <w:bookmarkStart w:id="42" w:name="_Toc102634408"/>
      <w:bookmarkStart w:id="43" w:name="_Toc102633908"/>
      <w:bookmarkStart w:id="44" w:name="_Toc102634259"/>
      <w:r>
        <w:rPr>
          <w:rFonts w:ascii="Calibri" w:hAnsi="Calibri" w:eastAsia="楷体_GB2312"/>
          <w:b/>
          <w:color w:val="auto"/>
          <w:kern w:val="0"/>
          <w:sz w:val="32"/>
          <w:szCs w:val="20"/>
        </w:rPr>
        <w:t>第二节 评价方法的选择</w:t>
      </w:r>
      <w:bookmarkEnd w:id="32"/>
      <w:bookmarkEnd w:id="33"/>
      <w:bookmarkEnd w:id="34"/>
      <w:bookmarkEnd w:id="35"/>
      <w:bookmarkEnd w:id="36"/>
      <w:bookmarkEnd w:id="37"/>
      <w:bookmarkEnd w:id="38"/>
      <w:bookmarkEnd w:id="39"/>
      <w:bookmarkEnd w:id="40"/>
      <w:bookmarkEnd w:id="41"/>
      <w:bookmarkEnd w:id="42"/>
      <w:bookmarkEnd w:id="43"/>
      <w:bookmarkEnd w:id="44"/>
    </w:p>
    <w:p w14:paraId="57D82CF9">
      <w:pPr>
        <w:pStyle w:val="8"/>
        <w:widowControl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7B09EB35">
      <w:pPr>
        <w:pStyle w:val="8"/>
        <w:widowControl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7E1C0450">
      <w:pPr>
        <w:pStyle w:val="8"/>
        <w:widowControl w:val="0"/>
        <w:spacing w:line="360" w:lineRule="auto"/>
        <w:ind w:firstLine="560"/>
        <w:rPr>
          <w:rFonts w:ascii="宋体"/>
          <w:color w:val="auto"/>
        </w:rPr>
      </w:pPr>
      <w:r>
        <w:rPr>
          <w:rFonts w:ascii="宋体"/>
          <w:color w:val="auto"/>
        </w:rPr>
        <w:t>根据本次安全评价的特点，结合</w:t>
      </w:r>
      <w:r>
        <w:rPr>
          <w:rFonts w:hint="eastAsia" w:ascii="宋体"/>
          <w:color w:val="auto"/>
          <w:lang w:eastAsia="zh-CN"/>
        </w:rPr>
        <w:t>中国石化山东泰山石油股份有限公司泰安第三十</w:t>
      </w:r>
      <w:r>
        <w:rPr>
          <w:rFonts w:hint="eastAsia" w:ascii="宋体"/>
          <w:color w:val="auto"/>
          <w:lang w:val="en-US" w:eastAsia="zh-CN"/>
        </w:rPr>
        <w:t>六</w:t>
      </w:r>
      <w:r>
        <w:rPr>
          <w:rFonts w:hint="eastAsia" w:ascii="宋体"/>
          <w:color w:val="auto"/>
          <w:lang w:eastAsia="zh-CN"/>
        </w:rPr>
        <w:t>加油站</w:t>
      </w:r>
      <w:r>
        <w:rPr>
          <w:rFonts w:ascii="宋体"/>
          <w:color w:val="auto"/>
        </w:rPr>
        <w:t>的具体情况，选用安全检查表、事故树法及危险度评价法对加油站进行评价。具体应用如下表所示：</w:t>
      </w:r>
    </w:p>
    <w:p w14:paraId="014D1FFB">
      <w:pPr>
        <w:pStyle w:val="10"/>
        <w:widowControl w:val="0"/>
        <w:outlineLvl w:val="9"/>
        <w:rPr>
          <w:rFonts w:ascii="黑体" w:hAnsi="黑体"/>
          <w:color w:val="auto"/>
        </w:rPr>
      </w:pPr>
      <w:r>
        <w:rPr>
          <w:rFonts w:ascii="黑体" w:hAnsi="黑体"/>
          <w:color w:val="auto"/>
        </w:rPr>
        <w:t>表4.2-1 评价方法选择一览表</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2474"/>
        <w:gridCol w:w="2305"/>
        <w:gridCol w:w="2253"/>
        <w:gridCol w:w="1871"/>
      </w:tblGrid>
      <w:tr w14:paraId="22362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restart"/>
            <w:noWrap w:val="0"/>
            <w:vAlign w:val="center"/>
          </w:tcPr>
          <w:p w14:paraId="27D24F3B">
            <w:pPr>
              <w:pStyle w:val="11"/>
              <w:widowControl w:val="0"/>
              <w:spacing w:line="360" w:lineRule="auto"/>
              <w:rPr>
                <w:rFonts w:ascii="宋体"/>
                <w:b/>
                <w:color w:val="auto"/>
                <w:lang w:val="en-GB"/>
              </w:rPr>
            </w:pPr>
            <w:r>
              <w:rPr>
                <w:rFonts w:ascii="宋体"/>
                <w:b/>
                <w:color w:val="auto"/>
                <w:lang w:val="en-GB"/>
              </w:rPr>
              <w:t>序号</w:t>
            </w:r>
          </w:p>
        </w:tc>
        <w:tc>
          <w:tcPr>
            <w:tcW w:w="1285" w:type="pct"/>
            <w:vMerge w:val="restart"/>
            <w:noWrap w:val="0"/>
            <w:vAlign w:val="center"/>
          </w:tcPr>
          <w:p w14:paraId="60A10806">
            <w:pPr>
              <w:pStyle w:val="11"/>
              <w:widowControl w:val="0"/>
              <w:spacing w:line="360" w:lineRule="auto"/>
              <w:rPr>
                <w:rFonts w:ascii="宋体"/>
                <w:b/>
                <w:color w:val="auto"/>
              </w:rPr>
            </w:pPr>
            <w:r>
              <w:rPr>
                <w:rFonts w:ascii="宋体"/>
                <w:b/>
                <w:bCs/>
                <w:color w:val="auto"/>
                <w:lang w:val="en-GB"/>
              </w:rPr>
              <w:t>评价单元</w:t>
            </w:r>
          </w:p>
        </w:tc>
        <w:tc>
          <w:tcPr>
            <w:tcW w:w="3339" w:type="pct"/>
            <w:gridSpan w:val="3"/>
            <w:noWrap w:val="0"/>
            <w:vAlign w:val="center"/>
          </w:tcPr>
          <w:p w14:paraId="694EA1AE">
            <w:pPr>
              <w:pStyle w:val="11"/>
              <w:widowControl w:val="0"/>
              <w:spacing w:line="360" w:lineRule="auto"/>
              <w:rPr>
                <w:rFonts w:ascii="宋体"/>
                <w:b/>
                <w:color w:val="auto"/>
              </w:rPr>
            </w:pPr>
            <w:r>
              <w:rPr>
                <w:rFonts w:ascii="宋体"/>
                <w:b/>
                <w:color w:val="auto"/>
                <w:lang w:val="en-GB"/>
              </w:rPr>
              <w:t>评价方法</w:t>
            </w:r>
          </w:p>
        </w:tc>
      </w:tr>
      <w:tr w14:paraId="16A2B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noWrap w:val="0"/>
            <w:vAlign w:val="center"/>
          </w:tcPr>
          <w:p w14:paraId="6FA38C84">
            <w:pPr>
              <w:pStyle w:val="11"/>
              <w:widowControl w:val="0"/>
              <w:spacing w:line="360" w:lineRule="auto"/>
              <w:rPr>
                <w:rFonts w:ascii="宋体"/>
                <w:b/>
                <w:color w:val="auto"/>
                <w:lang w:val="en-GB"/>
              </w:rPr>
            </w:pPr>
          </w:p>
        </w:tc>
        <w:tc>
          <w:tcPr>
            <w:tcW w:w="1285" w:type="pct"/>
            <w:vMerge w:val="continue"/>
            <w:noWrap w:val="0"/>
            <w:vAlign w:val="center"/>
          </w:tcPr>
          <w:p w14:paraId="31F118FF">
            <w:pPr>
              <w:pStyle w:val="11"/>
              <w:widowControl w:val="0"/>
              <w:spacing w:line="360" w:lineRule="auto"/>
              <w:rPr>
                <w:rFonts w:ascii="宋体"/>
                <w:b/>
                <w:color w:val="auto"/>
              </w:rPr>
            </w:pPr>
          </w:p>
        </w:tc>
        <w:tc>
          <w:tcPr>
            <w:tcW w:w="1197" w:type="pct"/>
            <w:noWrap w:val="0"/>
            <w:vAlign w:val="center"/>
          </w:tcPr>
          <w:p w14:paraId="69BBFF9A">
            <w:pPr>
              <w:pStyle w:val="11"/>
              <w:widowControl w:val="0"/>
              <w:spacing w:line="360" w:lineRule="auto"/>
              <w:rPr>
                <w:rFonts w:ascii="宋体"/>
                <w:b/>
                <w:color w:val="auto"/>
                <w:lang w:val="en-GB"/>
              </w:rPr>
            </w:pPr>
            <w:r>
              <w:rPr>
                <w:rFonts w:ascii="宋体"/>
                <w:b/>
                <w:color w:val="auto"/>
                <w:lang w:val="en-GB"/>
              </w:rPr>
              <w:t>安全检查表</w:t>
            </w:r>
          </w:p>
        </w:tc>
        <w:tc>
          <w:tcPr>
            <w:tcW w:w="1170" w:type="pct"/>
            <w:noWrap w:val="0"/>
            <w:vAlign w:val="center"/>
          </w:tcPr>
          <w:p w14:paraId="5E73C3F5">
            <w:pPr>
              <w:pStyle w:val="11"/>
              <w:widowControl w:val="0"/>
              <w:spacing w:line="360" w:lineRule="auto"/>
              <w:rPr>
                <w:rFonts w:ascii="宋体"/>
                <w:b/>
                <w:color w:val="auto"/>
                <w:lang w:val="en-GB"/>
              </w:rPr>
            </w:pPr>
            <w:r>
              <w:rPr>
                <w:rFonts w:ascii="宋体"/>
                <w:b/>
                <w:color w:val="auto"/>
                <w:lang w:val="en-GB"/>
              </w:rPr>
              <w:t>危险度评价法</w:t>
            </w:r>
          </w:p>
        </w:tc>
        <w:tc>
          <w:tcPr>
            <w:tcW w:w="972" w:type="pct"/>
            <w:noWrap w:val="0"/>
            <w:vAlign w:val="center"/>
          </w:tcPr>
          <w:p w14:paraId="21A1A3FE">
            <w:pPr>
              <w:pStyle w:val="11"/>
              <w:widowControl w:val="0"/>
              <w:spacing w:line="360" w:lineRule="auto"/>
              <w:rPr>
                <w:rFonts w:ascii="宋体"/>
                <w:b/>
                <w:color w:val="auto"/>
                <w:lang w:val="en-GB"/>
              </w:rPr>
            </w:pPr>
            <w:r>
              <w:rPr>
                <w:rFonts w:ascii="宋体"/>
                <w:b/>
                <w:color w:val="auto"/>
                <w:lang w:val="en-GB"/>
              </w:rPr>
              <w:t>事故树法</w:t>
            </w:r>
          </w:p>
        </w:tc>
      </w:tr>
      <w:tr w14:paraId="285F7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73648F6A">
            <w:pPr>
              <w:pStyle w:val="11"/>
              <w:widowControl w:val="0"/>
              <w:spacing w:line="360" w:lineRule="auto"/>
              <w:rPr>
                <w:rFonts w:ascii="宋体"/>
                <w:color w:val="auto"/>
                <w:lang w:val="en-GB"/>
              </w:rPr>
            </w:pPr>
            <w:r>
              <w:rPr>
                <w:rFonts w:ascii="宋体"/>
                <w:color w:val="auto"/>
                <w:lang w:val="en-GB"/>
              </w:rPr>
              <w:t>1</w:t>
            </w:r>
          </w:p>
        </w:tc>
        <w:tc>
          <w:tcPr>
            <w:tcW w:w="1285" w:type="pct"/>
            <w:noWrap w:val="0"/>
            <w:vAlign w:val="center"/>
          </w:tcPr>
          <w:p w14:paraId="6C74F9B2">
            <w:pPr>
              <w:pStyle w:val="11"/>
              <w:widowControl w:val="0"/>
              <w:spacing w:line="360" w:lineRule="auto"/>
              <w:rPr>
                <w:rFonts w:ascii="宋体"/>
                <w:color w:val="auto"/>
                <w:lang w:val="en-GB"/>
              </w:rPr>
            </w:pPr>
            <w:r>
              <w:rPr>
                <w:rFonts w:ascii="宋体"/>
                <w:color w:val="auto"/>
                <w:lang w:val="en-GB"/>
              </w:rPr>
              <w:t>安全管理单元</w:t>
            </w:r>
          </w:p>
        </w:tc>
        <w:tc>
          <w:tcPr>
            <w:tcW w:w="1197" w:type="pct"/>
            <w:noWrap w:val="0"/>
            <w:vAlign w:val="center"/>
          </w:tcPr>
          <w:p w14:paraId="24D8BABF">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01A10CF">
            <w:pPr>
              <w:pStyle w:val="11"/>
              <w:widowControl w:val="0"/>
              <w:spacing w:line="360" w:lineRule="auto"/>
              <w:rPr>
                <w:rFonts w:ascii="宋体"/>
                <w:color w:val="auto"/>
              </w:rPr>
            </w:pPr>
          </w:p>
        </w:tc>
        <w:tc>
          <w:tcPr>
            <w:tcW w:w="972" w:type="pct"/>
            <w:noWrap w:val="0"/>
            <w:vAlign w:val="center"/>
          </w:tcPr>
          <w:p w14:paraId="7B0BC0CD">
            <w:pPr>
              <w:pStyle w:val="11"/>
              <w:widowControl w:val="0"/>
              <w:spacing w:line="360" w:lineRule="auto"/>
              <w:rPr>
                <w:rFonts w:ascii="宋体"/>
                <w:color w:val="auto"/>
              </w:rPr>
            </w:pPr>
          </w:p>
        </w:tc>
      </w:tr>
      <w:tr w14:paraId="249DD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2221AA79">
            <w:pPr>
              <w:pStyle w:val="11"/>
              <w:widowControl w:val="0"/>
              <w:spacing w:line="360" w:lineRule="auto"/>
              <w:rPr>
                <w:rFonts w:ascii="宋体"/>
                <w:color w:val="auto"/>
                <w:lang w:val="en-GB"/>
              </w:rPr>
            </w:pPr>
            <w:r>
              <w:rPr>
                <w:rFonts w:ascii="宋体"/>
                <w:color w:val="auto"/>
                <w:lang w:val="en-GB"/>
              </w:rPr>
              <w:t>2</w:t>
            </w:r>
          </w:p>
        </w:tc>
        <w:tc>
          <w:tcPr>
            <w:tcW w:w="1285" w:type="pct"/>
            <w:noWrap w:val="0"/>
            <w:vAlign w:val="center"/>
          </w:tcPr>
          <w:p w14:paraId="7227F9AE">
            <w:pPr>
              <w:pStyle w:val="11"/>
              <w:widowControl w:val="0"/>
              <w:spacing w:line="360" w:lineRule="auto"/>
              <w:rPr>
                <w:rFonts w:ascii="宋体"/>
                <w:color w:val="auto"/>
                <w:lang w:val="en-GB"/>
              </w:rPr>
            </w:pPr>
            <w:r>
              <w:rPr>
                <w:rFonts w:ascii="宋体"/>
                <w:color w:val="auto"/>
                <w:lang w:val="en-GB"/>
              </w:rPr>
              <w:t>站址选择及总平面布置</w:t>
            </w:r>
          </w:p>
        </w:tc>
        <w:tc>
          <w:tcPr>
            <w:tcW w:w="1197" w:type="pct"/>
            <w:noWrap w:val="0"/>
            <w:vAlign w:val="center"/>
          </w:tcPr>
          <w:p w14:paraId="54B523CC">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78748103">
            <w:pPr>
              <w:pStyle w:val="11"/>
              <w:widowControl w:val="0"/>
              <w:spacing w:line="360" w:lineRule="auto"/>
              <w:rPr>
                <w:rFonts w:ascii="宋体"/>
                <w:color w:val="auto"/>
              </w:rPr>
            </w:pPr>
          </w:p>
        </w:tc>
        <w:tc>
          <w:tcPr>
            <w:tcW w:w="972" w:type="pct"/>
            <w:noWrap w:val="0"/>
            <w:vAlign w:val="center"/>
          </w:tcPr>
          <w:p w14:paraId="11FCBE08">
            <w:pPr>
              <w:pStyle w:val="11"/>
              <w:widowControl w:val="0"/>
              <w:spacing w:line="360" w:lineRule="auto"/>
              <w:rPr>
                <w:rFonts w:ascii="宋体"/>
                <w:color w:val="auto"/>
              </w:rPr>
            </w:pPr>
          </w:p>
        </w:tc>
      </w:tr>
      <w:tr w14:paraId="30520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57ABB17D">
            <w:pPr>
              <w:pStyle w:val="11"/>
              <w:widowControl w:val="0"/>
              <w:spacing w:line="360" w:lineRule="auto"/>
              <w:rPr>
                <w:rFonts w:ascii="宋体"/>
                <w:color w:val="auto"/>
                <w:lang w:val="en-GB"/>
              </w:rPr>
            </w:pPr>
            <w:r>
              <w:rPr>
                <w:rFonts w:ascii="宋体"/>
                <w:color w:val="auto"/>
                <w:lang w:val="en-GB"/>
              </w:rPr>
              <w:t>3</w:t>
            </w:r>
          </w:p>
        </w:tc>
        <w:tc>
          <w:tcPr>
            <w:tcW w:w="1285" w:type="pct"/>
            <w:noWrap w:val="0"/>
            <w:vAlign w:val="center"/>
          </w:tcPr>
          <w:p w14:paraId="7B2EB380">
            <w:pPr>
              <w:pStyle w:val="11"/>
              <w:widowControl w:val="0"/>
              <w:spacing w:line="360" w:lineRule="auto"/>
              <w:rPr>
                <w:rFonts w:ascii="宋体"/>
                <w:color w:val="auto"/>
                <w:lang w:val="en-GB"/>
              </w:rPr>
            </w:pPr>
            <w:r>
              <w:rPr>
                <w:rFonts w:ascii="宋体"/>
                <w:color w:val="auto"/>
                <w:lang w:val="en-GB"/>
              </w:rPr>
              <w:t>加油工艺及设施</w:t>
            </w:r>
          </w:p>
        </w:tc>
        <w:tc>
          <w:tcPr>
            <w:tcW w:w="1197" w:type="pct"/>
            <w:noWrap w:val="0"/>
            <w:vAlign w:val="center"/>
          </w:tcPr>
          <w:p w14:paraId="606FF95D">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35EE852">
            <w:pPr>
              <w:pStyle w:val="11"/>
              <w:widowControl w:val="0"/>
              <w:spacing w:line="360" w:lineRule="auto"/>
              <w:rPr>
                <w:rFonts w:ascii="宋体"/>
                <w:color w:val="auto"/>
              </w:rPr>
            </w:pPr>
            <w:r>
              <w:rPr>
                <w:rFonts w:hint="eastAsia" w:ascii="宋体" w:hAnsi="宋体" w:cs="宋体"/>
                <w:color w:val="auto"/>
              </w:rPr>
              <w:t>★</w:t>
            </w:r>
          </w:p>
        </w:tc>
        <w:tc>
          <w:tcPr>
            <w:tcW w:w="972" w:type="pct"/>
            <w:noWrap w:val="0"/>
            <w:vAlign w:val="center"/>
          </w:tcPr>
          <w:p w14:paraId="7D427B82">
            <w:pPr>
              <w:pStyle w:val="11"/>
              <w:widowControl w:val="0"/>
              <w:spacing w:line="360" w:lineRule="auto"/>
              <w:rPr>
                <w:rFonts w:ascii="宋体"/>
                <w:color w:val="auto"/>
              </w:rPr>
            </w:pPr>
            <w:r>
              <w:rPr>
                <w:rFonts w:hint="eastAsia" w:ascii="宋体" w:hAnsi="宋体" w:cs="宋体"/>
                <w:color w:val="auto"/>
              </w:rPr>
              <w:t>★</w:t>
            </w:r>
          </w:p>
        </w:tc>
      </w:tr>
      <w:tr w14:paraId="35689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noWrap w:val="0"/>
            <w:vAlign w:val="center"/>
          </w:tcPr>
          <w:p w14:paraId="29428A99">
            <w:pPr>
              <w:pStyle w:val="11"/>
              <w:widowControl w:val="0"/>
              <w:spacing w:line="360" w:lineRule="auto"/>
              <w:rPr>
                <w:rFonts w:ascii="宋体"/>
                <w:color w:val="auto"/>
                <w:lang w:val="en-GB"/>
              </w:rPr>
            </w:pPr>
            <w:r>
              <w:rPr>
                <w:rFonts w:ascii="宋体"/>
                <w:color w:val="auto"/>
                <w:lang w:val="en-GB"/>
              </w:rPr>
              <w:t>4</w:t>
            </w:r>
          </w:p>
        </w:tc>
        <w:tc>
          <w:tcPr>
            <w:tcW w:w="1285" w:type="pct"/>
            <w:noWrap w:val="0"/>
            <w:vAlign w:val="center"/>
          </w:tcPr>
          <w:p w14:paraId="7BEEA9A8">
            <w:pPr>
              <w:pStyle w:val="11"/>
              <w:widowControl w:val="0"/>
              <w:spacing w:line="360" w:lineRule="auto"/>
              <w:rPr>
                <w:rFonts w:ascii="宋体"/>
                <w:color w:val="auto"/>
                <w:lang w:val="en-GB"/>
              </w:rPr>
            </w:pPr>
            <w:r>
              <w:rPr>
                <w:rFonts w:ascii="宋体"/>
                <w:color w:val="auto"/>
                <w:lang w:val="en-GB"/>
              </w:rPr>
              <w:t>其它安全设施</w:t>
            </w:r>
          </w:p>
        </w:tc>
        <w:tc>
          <w:tcPr>
            <w:tcW w:w="1197" w:type="pct"/>
            <w:noWrap w:val="0"/>
            <w:vAlign w:val="center"/>
          </w:tcPr>
          <w:p w14:paraId="7408FD92">
            <w:pPr>
              <w:pStyle w:val="11"/>
              <w:widowControl w:val="0"/>
              <w:spacing w:line="360" w:lineRule="auto"/>
              <w:rPr>
                <w:rFonts w:ascii="宋体"/>
                <w:color w:val="auto"/>
              </w:rPr>
            </w:pPr>
            <w:r>
              <w:rPr>
                <w:rFonts w:hint="eastAsia" w:ascii="宋体" w:hAnsi="宋体" w:cs="宋体"/>
                <w:color w:val="auto"/>
              </w:rPr>
              <w:t>★</w:t>
            </w:r>
          </w:p>
        </w:tc>
        <w:tc>
          <w:tcPr>
            <w:tcW w:w="1170" w:type="pct"/>
            <w:noWrap w:val="0"/>
            <w:vAlign w:val="center"/>
          </w:tcPr>
          <w:p w14:paraId="54FFA1DF">
            <w:pPr>
              <w:pStyle w:val="11"/>
              <w:widowControl w:val="0"/>
              <w:spacing w:line="360" w:lineRule="auto"/>
              <w:rPr>
                <w:rFonts w:ascii="宋体"/>
                <w:color w:val="auto"/>
              </w:rPr>
            </w:pPr>
          </w:p>
        </w:tc>
        <w:tc>
          <w:tcPr>
            <w:tcW w:w="972" w:type="pct"/>
            <w:noWrap w:val="0"/>
            <w:vAlign w:val="center"/>
          </w:tcPr>
          <w:p w14:paraId="03608C82">
            <w:pPr>
              <w:pStyle w:val="11"/>
              <w:widowControl w:val="0"/>
              <w:spacing w:line="360" w:lineRule="auto"/>
              <w:rPr>
                <w:rFonts w:ascii="宋体"/>
                <w:color w:val="auto"/>
              </w:rPr>
            </w:pPr>
          </w:p>
        </w:tc>
      </w:tr>
    </w:tbl>
    <w:p w14:paraId="10147963">
      <w:pPr>
        <w:pStyle w:val="8"/>
        <w:widowControl w:val="0"/>
        <w:spacing w:line="360" w:lineRule="auto"/>
        <w:ind w:firstLine="420"/>
        <w:rPr>
          <w:rFonts w:ascii="黑体" w:hAnsi="黑体" w:eastAsia="黑体"/>
          <w:color w:val="auto"/>
        </w:rPr>
      </w:pPr>
      <w:r>
        <w:rPr>
          <w:rFonts w:ascii="黑体" w:hAnsi="黑体" w:eastAsia="黑体"/>
          <w:color w:val="auto"/>
          <w:sz w:val="21"/>
          <w:szCs w:val="21"/>
          <w:u w:val="none" w:color="000000"/>
        </w:rPr>
        <w:t>注：表中“★”表示采用的评价方法。</w:t>
      </w:r>
    </w:p>
    <w:p w14:paraId="498C9DED">
      <w:pPr>
        <w:pStyle w:val="2"/>
        <w:rPr>
          <w:rFonts w:hint="eastAsia"/>
          <w:lang w:val="en-US" w:eastAsia="zh-CN"/>
        </w:rPr>
      </w:pPr>
    </w:p>
    <w:p w14:paraId="60D5F574">
      <w:pPr>
        <w:pStyle w:val="2"/>
        <w:rPr>
          <w:rFonts w:hint="eastAsia"/>
          <w:lang w:val="en-US" w:eastAsia="zh-CN"/>
        </w:rPr>
      </w:pPr>
    </w:p>
    <w:p w14:paraId="5FDB11C5">
      <w:pPr>
        <w:pStyle w:val="2"/>
        <w:rPr>
          <w:rFonts w:hint="eastAsia"/>
          <w:lang w:val="en-US" w:eastAsia="zh-CN"/>
        </w:rPr>
      </w:pPr>
    </w:p>
    <w:p w14:paraId="54D2C95D">
      <w:pPr>
        <w:pStyle w:val="2"/>
        <w:rPr>
          <w:rFonts w:hint="eastAsia"/>
          <w:lang w:val="en-US" w:eastAsia="zh-CN"/>
        </w:rPr>
      </w:pPr>
    </w:p>
    <w:p w14:paraId="74F4A6B6">
      <w:pPr>
        <w:pStyle w:val="2"/>
        <w:rPr>
          <w:rFonts w:hint="eastAsia"/>
          <w:lang w:val="en-US" w:eastAsia="zh-CN"/>
        </w:rPr>
      </w:pPr>
    </w:p>
    <w:p w14:paraId="71CFC805">
      <w:pPr>
        <w:pStyle w:val="2"/>
        <w:rPr>
          <w:rFonts w:hint="eastAsia"/>
          <w:lang w:val="en-US" w:eastAsia="zh-CN"/>
        </w:rPr>
      </w:pPr>
    </w:p>
    <w:p w14:paraId="05A78FC0">
      <w:pPr>
        <w:pStyle w:val="2"/>
        <w:rPr>
          <w:rFonts w:hint="eastAsia"/>
          <w:lang w:val="en-US" w:eastAsia="zh-CN"/>
        </w:rPr>
      </w:pPr>
    </w:p>
    <w:p w14:paraId="6B600D32">
      <w:pPr>
        <w:pStyle w:val="2"/>
        <w:rPr>
          <w:rFonts w:hint="eastAsia"/>
          <w:lang w:val="en-US" w:eastAsia="zh-CN"/>
        </w:rPr>
      </w:pPr>
    </w:p>
    <w:p w14:paraId="30DF714D">
      <w:pPr>
        <w:pStyle w:val="2"/>
        <w:rPr>
          <w:rFonts w:hint="eastAsia"/>
          <w:lang w:val="en-US" w:eastAsia="zh-CN"/>
        </w:rPr>
      </w:pPr>
    </w:p>
    <w:p w14:paraId="591A17EF">
      <w:pPr>
        <w:pStyle w:val="2"/>
        <w:rPr>
          <w:rFonts w:hint="eastAsia"/>
          <w:lang w:val="en-US" w:eastAsia="zh-CN"/>
        </w:rPr>
      </w:pPr>
    </w:p>
    <w:p w14:paraId="33FE60AF">
      <w:pPr>
        <w:pStyle w:val="9"/>
        <w:widowControl w:val="0"/>
        <w:adjustRightInd w:val="0"/>
        <w:snapToGrid w:val="0"/>
        <w:spacing w:before="468" w:beforeLines="150" w:after="156" w:afterLines="50" w:line="360" w:lineRule="auto"/>
        <w:rPr>
          <w:color w:val="auto"/>
        </w:rPr>
      </w:pPr>
      <w:bookmarkStart w:id="45" w:name="_Toc102633914"/>
      <w:bookmarkStart w:id="46" w:name="_Toc102634276"/>
      <w:bookmarkStart w:id="47" w:name="_Toc102634414"/>
      <w:bookmarkStart w:id="48" w:name="_Toc9894"/>
      <w:bookmarkStart w:id="49" w:name="_Toc102633988"/>
      <w:bookmarkStart w:id="50" w:name="_Toc15033761"/>
      <w:r>
        <w:rPr>
          <w:color w:val="auto"/>
        </w:rPr>
        <w:t>第六章  安全对策措施及建议</w:t>
      </w:r>
      <w:bookmarkEnd w:id="45"/>
      <w:bookmarkEnd w:id="46"/>
      <w:bookmarkEnd w:id="47"/>
      <w:bookmarkEnd w:id="48"/>
      <w:bookmarkEnd w:id="49"/>
      <w:bookmarkEnd w:id="50"/>
    </w:p>
    <w:p w14:paraId="0CC93D78">
      <w:pPr>
        <w:snapToGrid w:val="0"/>
        <w:spacing w:before="120" w:after="120" w:line="560" w:lineRule="exact"/>
        <w:jc w:val="center"/>
        <w:outlineLvl w:val="1"/>
        <w:rPr>
          <w:rFonts w:ascii="Calibri" w:hAnsi="Calibri" w:eastAsia="楷体_GB2312"/>
          <w:b/>
          <w:color w:val="auto"/>
          <w:kern w:val="0"/>
          <w:sz w:val="32"/>
          <w:szCs w:val="20"/>
        </w:rPr>
      </w:pPr>
      <w:bookmarkStart w:id="51" w:name="_Toc339456079"/>
      <w:bookmarkStart w:id="52" w:name="_Toc225046264"/>
      <w:bookmarkStart w:id="53" w:name="_Toc4961"/>
      <w:bookmarkStart w:id="54" w:name="_Toc102634415"/>
      <w:bookmarkStart w:id="55" w:name="_Toc102633989"/>
      <w:bookmarkStart w:id="56" w:name="_Toc242065302"/>
      <w:bookmarkStart w:id="57" w:name="_Toc15033762"/>
      <w:bookmarkStart w:id="58" w:name="_Toc102633915"/>
      <w:bookmarkStart w:id="59" w:name="_Toc348877039"/>
      <w:bookmarkStart w:id="60" w:name="_Toc102634277"/>
      <w:r>
        <w:rPr>
          <w:rFonts w:ascii="Calibri" w:hAnsi="Calibri" w:eastAsia="楷体_GB2312"/>
          <w:b/>
          <w:color w:val="auto"/>
          <w:kern w:val="0"/>
          <w:sz w:val="32"/>
          <w:szCs w:val="20"/>
        </w:rPr>
        <w:t xml:space="preserve">第一节 </w:t>
      </w:r>
      <w:bookmarkEnd w:id="51"/>
      <w:bookmarkEnd w:id="52"/>
      <w:r>
        <w:rPr>
          <w:rFonts w:ascii="Calibri" w:hAnsi="Calibri" w:eastAsia="楷体_GB2312"/>
          <w:b/>
          <w:color w:val="auto"/>
          <w:kern w:val="0"/>
          <w:sz w:val="32"/>
          <w:szCs w:val="20"/>
        </w:rPr>
        <w:t>存在的问题及整改建议</w:t>
      </w:r>
      <w:bookmarkEnd w:id="53"/>
      <w:bookmarkEnd w:id="54"/>
      <w:bookmarkEnd w:id="55"/>
      <w:bookmarkEnd w:id="56"/>
      <w:bookmarkEnd w:id="57"/>
      <w:bookmarkEnd w:id="58"/>
      <w:bookmarkEnd w:id="59"/>
      <w:bookmarkEnd w:id="60"/>
    </w:p>
    <w:p w14:paraId="6ED67031">
      <w:pPr>
        <w:adjustRightInd w:val="0"/>
        <w:snapToGrid w:val="0"/>
        <w:spacing w:line="360" w:lineRule="auto"/>
        <w:ind w:firstLine="560" w:firstLineChars="200"/>
        <w:rPr>
          <w:rFonts w:ascii="宋体"/>
          <w:color w:val="auto"/>
          <w:kern w:val="0"/>
          <w:sz w:val="28"/>
          <w:szCs w:val="20"/>
        </w:rPr>
      </w:pPr>
      <w:bookmarkStart w:id="61" w:name="_Toc15033763"/>
      <w:bookmarkStart w:id="62" w:name="_Toc49590281"/>
      <w:r>
        <w:rPr>
          <w:rFonts w:ascii="宋体"/>
          <w:color w:val="auto"/>
          <w:kern w:val="0"/>
          <w:sz w:val="28"/>
          <w:szCs w:val="20"/>
        </w:rPr>
        <w:t>通过现场检查和审查有关资料</w:t>
      </w:r>
      <w:r>
        <w:rPr>
          <w:rFonts w:hint="eastAsia" w:ascii="宋体"/>
          <w:color w:val="auto"/>
          <w:kern w:val="0"/>
          <w:sz w:val="28"/>
          <w:szCs w:val="20"/>
        </w:rPr>
        <w:t>可以看出，该加油站问题如下：</w:t>
      </w:r>
    </w:p>
    <w:bookmarkEnd w:id="61"/>
    <w:bookmarkEnd w:id="62"/>
    <w:p w14:paraId="3A171847">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3"/>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12"/>
        <w:gridCol w:w="4373"/>
      </w:tblGrid>
      <w:tr w14:paraId="248D06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2" w:hRule="atLeast"/>
          <w:tblHeader/>
          <w:jc w:val="center"/>
        </w:trPr>
        <w:tc>
          <w:tcPr>
            <w:tcW w:w="817" w:type="dxa"/>
            <w:vAlign w:val="center"/>
          </w:tcPr>
          <w:p w14:paraId="30E3FC95">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4212" w:type="dxa"/>
            <w:vAlign w:val="center"/>
          </w:tcPr>
          <w:p w14:paraId="1AED0BF4">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373" w:type="dxa"/>
            <w:vAlign w:val="center"/>
          </w:tcPr>
          <w:p w14:paraId="5A3320B7">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53721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17" w:type="dxa"/>
            <w:vAlign w:val="center"/>
          </w:tcPr>
          <w:p w14:paraId="6DCC57B4">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u w:color="000000"/>
                <w:lang w:val="en-US" w:eastAsia="zh-CN"/>
              </w:rPr>
            </w:pPr>
            <w:r>
              <w:rPr>
                <w:rFonts w:hint="eastAsia" w:ascii="宋体" w:hAnsi="宋体"/>
                <w:bCs/>
                <w:color w:val="auto"/>
                <w:kern w:val="0"/>
                <w:position w:val="2"/>
                <w:u w:color="000000"/>
                <w:lang w:val="en-US" w:eastAsia="zh-CN"/>
              </w:rPr>
              <w:t>1</w:t>
            </w:r>
          </w:p>
        </w:tc>
        <w:tc>
          <w:tcPr>
            <w:tcW w:w="4212" w:type="dxa"/>
            <w:vAlign w:val="center"/>
          </w:tcPr>
          <w:p w14:paraId="4CAAAE81">
            <w:pPr>
              <w:widowControl/>
              <w:tabs>
                <w:tab w:val="left" w:pos="6120"/>
              </w:tabs>
              <w:adjustRightInd w:val="0"/>
              <w:spacing w:before="31" w:beforeLines="10" w:after="31" w:afterLines="10" w:line="320" w:lineRule="exact"/>
              <w:jc w:val="center"/>
              <w:textAlignment w:val="baseline"/>
              <w:rPr>
                <w:rFonts w:hint="default" w:ascii="宋体" w:hAnsi="宋体"/>
                <w:color w:val="auto"/>
                <w:kern w:val="0"/>
                <w:u w:color="000000"/>
                <w:lang w:val="en-US" w:eastAsia="zh-CN"/>
              </w:rPr>
            </w:pPr>
            <w:r>
              <w:rPr>
                <w:rFonts w:hint="eastAsia" w:ascii="宋体" w:hAnsi="宋体"/>
                <w:color w:val="auto"/>
                <w:kern w:val="0"/>
                <w:u w:color="000000"/>
                <w:lang w:val="en-US" w:eastAsia="zh-CN"/>
              </w:rPr>
              <w:t>无</w:t>
            </w:r>
          </w:p>
        </w:tc>
        <w:tc>
          <w:tcPr>
            <w:tcW w:w="4373" w:type="dxa"/>
            <w:vAlign w:val="center"/>
          </w:tcPr>
          <w:p w14:paraId="0D6B089E">
            <w:pPr>
              <w:widowControl/>
              <w:tabs>
                <w:tab w:val="left" w:pos="6120"/>
              </w:tabs>
              <w:adjustRightInd w:val="0"/>
              <w:spacing w:before="31" w:beforeLines="10" w:after="31" w:afterLines="10" w:line="320" w:lineRule="exact"/>
              <w:jc w:val="center"/>
              <w:textAlignment w:val="baseline"/>
              <w:rPr>
                <w:rFonts w:hint="default" w:ascii="宋体" w:hAnsi="宋体"/>
                <w:color w:val="auto"/>
                <w:kern w:val="0"/>
                <w:u w:color="000000"/>
                <w:lang w:val="en-US" w:eastAsia="zh-CN"/>
              </w:rPr>
            </w:pPr>
            <w:r>
              <w:rPr>
                <w:rFonts w:hint="eastAsia" w:ascii="宋体" w:hAnsi="宋体"/>
                <w:color w:val="auto"/>
                <w:kern w:val="0"/>
                <w:u w:color="000000"/>
                <w:lang w:val="en-US" w:eastAsia="zh-CN"/>
              </w:rPr>
              <w:t>无</w:t>
            </w:r>
          </w:p>
        </w:tc>
      </w:tr>
    </w:tbl>
    <w:p w14:paraId="7DFB7C91">
      <w:pPr>
        <w:widowControl w:val="0"/>
        <w:tabs>
          <w:tab w:val="left" w:pos="698"/>
        </w:tabs>
        <w:kinsoku/>
        <w:autoSpaceDE/>
        <w:autoSpaceDN/>
        <w:adjustRightInd/>
        <w:snapToGrid/>
        <w:spacing w:line="240" w:lineRule="auto"/>
        <w:ind w:firstLine="560" w:firstLineChars="200"/>
        <w:jc w:val="left"/>
        <w:textAlignment w:val="auto"/>
        <w:rPr>
          <w:rFonts w:hint="eastAsia" w:ascii="宋体" w:eastAsia="宋体"/>
          <w:kern w:val="0"/>
          <w:sz w:val="28"/>
          <w:szCs w:val="20"/>
          <w:lang w:eastAsia="zh-CN"/>
        </w:rPr>
      </w:pPr>
      <w:r>
        <w:rPr>
          <w:rFonts w:hint="eastAsia" w:ascii="宋体"/>
          <w:kern w:val="0"/>
          <w:sz w:val="28"/>
          <w:szCs w:val="20"/>
        </w:rPr>
        <w:t>该加油站在安全管理、站址选择及总平面布置、加油工艺及设施、其它设施等方面符合有关法律、标准规范的要求</w:t>
      </w:r>
      <w:r>
        <w:rPr>
          <w:rFonts w:hint="eastAsia" w:ascii="宋体" w:eastAsia="宋体"/>
          <w:kern w:val="0"/>
          <w:sz w:val="28"/>
          <w:szCs w:val="20"/>
          <w:lang w:eastAsia="zh-CN"/>
        </w:rPr>
        <w:t>。</w:t>
      </w:r>
    </w:p>
    <w:p w14:paraId="29FC7E10">
      <w:pPr>
        <w:pStyle w:val="2"/>
        <w:rPr>
          <w:rFonts w:hint="eastAsia" w:ascii="宋体" w:eastAsia="宋体"/>
          <w:kern w:val="0"/>
          <w:sz w:val="28"/>
          <w:szCs w:val="20"/>
          <w:lang w:eastAsia="zh-CN"/>
        </w:rPr>
      </w:pPr>
    </w:p>
    <w:p w14:paraId="7196FAF6">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t xml:space="preserve">   </w:t>
      </w:r>
    </w:p>
    <w:p w14:paraId="0BCD549E">
      <w:pPr>
        <w:pStyle w:val="2"/>
        <w:ind w:left="0" w:leftChars="0" w:firstLine="0" w:firstLineChars="0"/>
        <w:rPr>
          <w:rFonts w:hint="eastAsia" w:ascii="宋体" w:eastAsia="宋体"/>
          <w:kern w:val="0"/>
          <w:sz w:val="28"/>
          <w:szCs w:val="20"/>
          <w:lang w:val="en-US" w:eastAsia="zh-CN"/>
        </w:rPr>
      </w:pPr>
    </w:p>
    <w:p w14:paraId="754E295C">
      <w:pPr>
        <w:pStyle w:val="2"/>
        <w:ind w:left="0" w:leftChars="0" w:firstLine="0" w:firstLineChars="0"/>
        <w:rPr>
          <w:rFonts w:hint="eastAsia" w:ascii="宋体" w:eastAsia="宋体"/>
          <w:kern w:val="0"/>
          <w:sz w:val="28"/>
          <w:szCs w:val="20"/>
          <w:lang w:val="en-US" w:eastAsia="zh-CN"/>
        </w:rPr>
      </w:pPr>
    </w:p>
    <w:p w14:paraId="33ECCD2C">
      <w:pPr>
        <w:pStyle w:val="2"/>
        <w:ind w:left="0" w:leftChars="0" w:firstLine="0" w:firstLineChars="0"/>
        <w:rPr>
          <w:rFonts w:hint="eastAsia" w:ascii="宋体" w:eastAsia="宋体"/>
          <w:kern w:val="0"/>
          <w:sz w:val="28"/>
          <w:szCs w:val="20"/>
          <w:lang w:val="en-US" w:eastAsia="zh-CN"/>
        </w:rPr>
      </w:pPr>
    </w:p>
    <w:p w14:paraId="6B68A546">
      <w:pPr>
        <w:pStyle w:val="2"/>
        <w:ind w:left="0" w:leftChars="0" w:firstLine="0" w:firstLineChars="0"/>
        <w:rPr>
          <w:rFonts w:hint="eastAsia" w:ascii="宋体" w:eastAsia="宋体"/>
          <w:kern w:val="0"/>
          <w:sz w:val="28"/>
          <w:szCs w:val="20"/>
          <w:lang w:val="en-US" w:eastAsia="zh-CN"/>
        </w:rPr>
      </w:pPr>
    </w:p>
    <w:p w14:paraId="4A09A148">
      <w:pPr>
        <w:pStyle w:val="2"/>
        <w:ind w:left="0" w:leftChars="0" w:firstLine="0" w:firstLineChars="0"/>
        <w:rPr>
          <w:rFonts w:hint="eastAsia" w:ascii="宋体" w:eastAsia="宋体"/>
          <w:kern w:val="0"/>
          <w:sz w:val="28"/>
          <w:szCs w:val="20"/>
          <w:lang w:val="en-US" w:eastAsia="zh-CN"/>
        </w:rPr>
      </w:pPr>
    </w:p>
    <w:p w14:paraId="7287E591">
      <w:pPr>
        <w:pStyle w:val="2"/>
        <w:ind w:left="0" w:leftChars="0" w:firstLine="0" w:firstLineChars="0"/>
        <w:rPr>
          <w:rFonts w:hint="eastAsia" w:ascii="宋体" w:eastAsia="宋体"/>
          <w:kern w:val="0"/>
          <w:sz w:val="28"/>
          <w:szCs w:val="20"/>
          <w:lang w:val="en-US" w:eastAsia="zh-CN"/>
        </w:rPr>
      </w:pPr>
    </w:p>
    <w:p w14:paraId="234AE995">
      <w:pPr>
        <w:pStyle w:val="2"/>
        <w:ind w:left="0" w:leftChars="0" w:firstLine="0" w:firstLineChars="0"/>
        <w:rPr>
          <w:rFonts w:hint="eastAsia" w:ascii="宋体" w:eastAsia="宋体"/>
          <w:kern w:val="0"/>
          <w:sz w:val="28"/>
          <w:szCs w:val="20"/>
          <w:lang w:val="en-US" w:eastAsia="zh-CN"/>
        </w:rPr>
      </w:pPr>
    </w:p>
    <w:p w14:paraId="1D2BC367">
      <w:pPr>
        <w:pStyle w:val="2"/>
        <w:ind w:left="0" w:leftChars="0" w:firstLine="0" w:firstLineChars="0"/>
        <w:rPr>
          <w:rFonts w:hint="eastAsia" w:ascii="宋体" w:eastAsia="宋体"/>
          <w:kern w:val="0"/>
          <w:sz w:val="28"/>
          <w:szCs w:val="20"/>
          <w:lang w:val="en-US" w:eastAsia="zh-CN"/>
        </w:rPr>
      </w:pPr>
    </w:p>
    <w:p w14:paraId="7FDE32C3">
      <w:pPr>
        <w:pStyle w:val="2"/>
        <w:ind w:left="0" w:leftChars="0" w:firstLine="0" w:firstLineChars="0"/>
        <w:rPr>
          <w:rFonts w:hint="eastAsia" w:ascii="宋体" w:eastAsia="宋体"/>
          <w:kern w:val="0"/>
          <w:sz w:val="28"/>
          <w:szCs w:val="20"/>
          <w:lang w:val="en-US" w:eastAsia="zh-CN"/>
        </w:rPr>
      </w:pPr>
    </w:p>
    <w:p w14:paraId="67D86ACD">
      <w:pPr>
        <w:pStyle w:val="2"/>
        <w:ind w:left="0" w:leftChars="0" w:firstLine="0" w:firstLineChars="0"/>
        <w:rPr>
          <w:rFonts w:hint="eastAsia" w:ascii="宋体" w:eastAsia="宋体"/>
          <w:kern w:val="0"/>
          <w:sz w:val="28"/>
          <w:szCs w:val="20"/>
          <w:lang w:val="en-US" w:eastAsia="zh-CN"/>
        </w:rPr>
      </w:pPr>
    </w:p>
    <w:p w14:paraId="627DF3ED">
      <w:pPr>
        <w:pStyle w:val="2"/>
        <w:ind w:left="0" w:leftChars="0" w:firstLine="0" w:firstLineChars="0"/>
        <w:rPr>
          <w:rFonts w:hint="eastAsia" w:ascii="宋体" w:eastAsia="宋体"/>
          <w:kern w:val="0"/>
          <w:sz w:val="28"/>
          <w:szCs w:val="20"/>
          <w:lang w:val="en-US" w:eastAsia="zh-CN"/>
        </w:rPr>
      </w:pPr>
    </w:p>
    <w:p w14:paraId="5163FA0C">
      <w:pPr>
        <w:pStyle w:val="2"/>
        <w:ind w:left="0" w:leftChars="0" w:firstLine="0" w:firstLineChars="0"/>
        <w:rPr>
          <w:rFonts w:hint="eastAsia" w:ascii="宋体" w:eastAsia="宋体"/>
          <w:kern w:val="0"/>
          <w:sz w:val="28"/>
          <w:szCs w:val="20"/>
          <w:lang w:val="en-US" w:eastAsia="zh-CN"/>
        </w:rPr>
      </w:pPr>
    </w:p>
    <w:p w14:paraId="4C4F6297">
      <w:pPr>
        <w:pStyle w:val="2"/>
        <w:ind w:left="0" w:leftChars="0" w:firstLine="0" w:firstLineChars="0"/>
        <w:rPr>
          <w:rFonts w:hint="eastAsia" w:ascii="宋体" w:eastAsia="宋体"/>
          <w:kern w:val="0"/>
          <w:sz w:val="28"/>
          <w:szCs w:val="20"/>
          <w:lang w:val="en-US" w:eastAsia="zh-CN"/>
        </w:rPr>
      </w:pPr>
    </w:p>
    <w:p w14:paraId="3AEB5644">
      <w:pPr>
        <w:pStyle w:val="2"/>
        <w:ind w:left="0" w:leftChars="0" w:firstLine="0" w:firstLineChars="0"/>
        <w:rPr>
          <w:rFonts w:hint="eastAsia" w:ascii="宋体" w:eastAsia="宋体"/>
          <w:kern w:val="0"/>
          <w:sz w:val="28"/>
          <w:szCs w:val="20"/>
          <w:lang w:val="en-US" w:eastAsia="zh-CN"/>
        </w:rPr>
      </w:pPr>
    </w:p>
    <w:p w14:paraId="4A651ABE">
      <w:pPr>
        <w:pStyle w:val="2"/>
        <w:ind w:left="0" w:leftChars="0" w:firstLine="0" w:firstLineChars="0"/>
        <w:rPr>
          <w:rFonts w:hint="eastAsia" w:ascii="宋体" w:eastAsia="宋体"/>
          <w:kern w:val="0"/>
          <w:sz w:val="28"/>
          <w:szCs w:val="20"/>
          <w:lang w:val="en-US" w:eastAsia="zh-CN"/>
        </w:rPr>
      </w:pPr>
    </w:p>
    <w:p w14:paraId="07141D98">
      <w:pPr>
        <w:pStyle w:val="2"/>
        <w:ind w:left="0" w:leftChars="0" w:firstLine="0" w:firstLineChars="0"/>
        <w:rPr>
          <w:rFonts w:hint="eastAsia" w:ascii="宋体" w:eastAsia="宋体"/>
          <w:kern w:val="0"/>
          <w:sz w:val="28"/>
          <w:szCs w:val="20"/>
          <w:lang w:val="en-US" w:eastAsia="zh-CN"/>
        </w:rPr>
      </w:pPr>
    </w:p>
    <w:p w14:paraId="5BB886FE">
      <w:pPr>
        <w:pStyle w:val="2"/>
        <w:ind w:left="0" w:leftChars="0" w:firstLine="0" w:firstLineChars="0"/>
        <w:rPr>
          <w:rFonts w:hint="eastAsia" w:ascii="宋体" w:eastAsia="宋体"/>
          <w:kern w:val="0"/>
          <w:sz w:val="28"/>
          <w:szCs w:val="20"/>
          <w:lang w:val="en-US" w:eastAsia="zh-CN"/>
        </w:rPr>
      </w:pPr>
    </w:p>
    <w:p w14:paraId="0047A009">
      <w:pPr>
        <w:pStyle w:val="2"/>
        <w:ind w:left="0" w:leftChars="0" w:firstLine="0" w:firstLineChars="0"/>
        <w:rPr>
          <w:rFonts w:hint="eastAsia" w:ascii="宋体" w:eastAsia="宋体"/>
          <w:kern w:val="0"/>
          <w:sz w:val="28"/>
          <w:szCs w:val="20"/>
          <w:lang w:val="en-US" w:eastAsia="zh-CN"/>
        </w:rPr>
      </w:pPr>
    </w:p>
    <w:p w14:paraId="65E2BC00">
      <w:pPr>
        <w:pStyle w:val="2"/>
        <w:ind w:left="0" w:leftChars="0" w:firstLine="0" w:firstLineChars="0"/>
        <w:rPr>
          <w:rFonts w:hint="eastAsia" w:ascii="宋体" w:eastAsia="宋体"/>
          <w:kern w:val="0"/>
          <w:sz w:val="28"/>
          <w:szCs w:val="20"/>
          <w:lang w:val="en-US" w:eastAsia="zh-CN"/>
        </w:rPr>
      </w:pPr>
    </w:p>
    <w:p w14:paraId="6558F50A">
      <w:pPr>
        <w:pStyle w:val="2"/>
        <w:ind w:left="0" w:leftChars="0" w:firstLine="0" w:firstLineChars="0"/>
        <w:rPr>
          <w:rFonts w:hint="eastAsia" w:ascii="宋体" w:eastAsia="宋体"/>
          <w:kern w:val="0"/>
          <w:sz w:val="28"/>
          <w:szCs w:val="20"/>
          <w:lang w:val="en-US" w:eastAsia="zh-CN"/>
        </w:rPr>
      </w:pPr>
    </w:p>
    <w:p w14:paraId="14359921">
      <w:pPr>
        <w:pStyle w:val="2"/>
        <w:ind w:left="0" w:leftChars="0" w:firstLine="0" w:firstLineChars="0"/>
        <w:rPr>
          <w:rFonts w:hint="eastAsia" w:ascii="宋体" w:eastAsia="宋体"/>
          <w:kern w:val="0"/>
          <w:sz w:val="28"/>
          <w:szCs w:val="20"/>
          <w:lang w:val="en-US" w:eastAsia="zh-CN"/>
        </w:rPr>
      </w:pPr>
    </w:p>
    <w:p w14:paraId="3AF08DFF">
      <w:pPr>
        <w:pStyle w:val="2"/>
        <w:ind w:left="0" w:leftChars="0" w:firstLine="0" w:firstLineChars="0"/>
        <w:rPr>
          <w:rFonts w:hint="eastAsia" w:ascii="宋体" w:eastAsia="宋体"/>
          <w:kern w:val="0"/>
          <w:sz w:val="28"/>
          <w:szCs w:val="20"/>
          <w:lang w:val="en-US" w:eastAsia="zh-CN"/>
        </w:rPr>
      </w:pPr>
    </w:p>
    <w:p w14:paraId="1F9E243F">
      <w:pPr>
        <w:pStyle w:val="2"/>
        <w:ind w:left="0" w:leftChars="0" w:firstLine="0" w:firstLineChars="0"/>
        <w:rPr>
          <w:rFonts w:hint="eastAsia" w:ascii="宋体" w:eastAsia="宋体"/>
          <w:kern w:val="0"/>
          <w:sz w:val="28"/>
          <w:szCs w:val="20"/>
          <w:lang w:val="en-US" w:eastAsia="zh-CN"/>
        </w:rPr>
      </w:pPr>
    </w:p>
    <w:p w14:paraId="46F2D9D5">
      <w:pPr>
        <w:pStyle w:val="2"/>
        <w:ind w:left="0" w:leftChars="0" w:firstLine="0" w:firstLineChars="0"/>
        <w:rPr>
          <w:rFonts w:hint="eastAsia" w:ascii="宋体" w:eastAsia="宋体"/>
          <w:kern w:val="0"/>
          <w:sz w:val="28"/>
          <w:szCs w:val="20"/>
          <w:lang w:val="en-US" w:eastAsia="zh-CN"/>
        </w:rPr>
      </w:pPr>
    </w:p>
    <w:p w14:paraId="06E842D6">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drawing>
          <wp:inline distT="0" distB="0" distL="114300" distR="114300">
            <wp:extent cx="5969635" cy="7962265"/>
            <wp:effectExtent l="0" t="0" r="12065" b="635"/>
            <wp:docPr id="6" name="图片 6" descr="000424ac2aeb39a2af2955d01d22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0424ac2aeb39a2af2955d01d229f6"/>
                    <pic:cNvPicPr>
                      <a:picLocks noChangeAspect="1"/>
                    </pic:cNvPicPr>
                  </pic:nvPicPr>
                  <pic:blipFill>
                    <a:blip r:embed="rId11"/>
                    <a:stretch>
                      <a:fillRect/>
                    </a:stretch>
                  </pic:blipFill>
                  <pic:spPr>
                    <a:xfrm>
                      <a:off x="0" y="0"/>
                      <a:ext cx="5969635" cy="7962265"/>
                    </a:xfrm>
                    <a:prstGeom prst="rect">
                      <a:avLst/>
                    </a:prstGeom>
                  </pic:spPr>
                </pic:pic>
              </a:graphicData>
            </a:graphic>
          </wp:inline>
        </w:drawing>
      </w:r>
    </w:p>
    <w:p w14:paraId="279DDBB4">
      <w:pPr>
        <w:pStyle w:val="2"/>
        <w:ind w:left="0" w:leftChars="0" w:firstLine="0" w:firstLineChars="0"/>
        <w:rPr>
          <w:rFonts w:hint="eastAsia" w:ascii="宋体" w:eastAsia="宋体"/>
          <w:kern w:val="0"/>
          <w:sz w:val="28"/>
          <w:szCs w:val="20"/>
          <w:lang w:val="en-US" w:eastAsia="zh-CN"/>
        </w:rPr>
      </w:pPr>
    </w:p>
    <w:p w14:paraId="355B5ECE">
      <w:pPr>
        <w:pStyle w:val="2"/>
        <w:ind w:left="0" w:leftChars="0" w:firstLine="0" w:firstLineChars="0"/>
        <w:rPr>
          <w:rFonts w:hint="eastAsia" w:ascii="宋体" w:eastAsia="宋体"/>
          <w:kern w:val="0"/>
          <w:sz w:val="28"/>
          <w:szCs w:val="20"/>
          <w:lang w:val="en-US" w:eastAsia="zh-CN"/>
        </w:rPr>
      </w:pPr>
    </w:p>
    <w:p w14:paraId="78CA6A9E">
      <w:pPr>
        <w:pStyle w:val="2"/>
        <w:ind w:left="0" w:leftChars="0" w:firstLine="0" w:firstLineChars="0"/>
        <w:rPr>
          <w:rFonts w:hint="eastAsia" w:ascii="宋体" w:eastAsia="宋体"/>
          <w:kern w:val="0"/>
          <w:sz w:val="28"/>
          <w:szCs w:val="20"/>
          <w:lang w:val="en-US" w:eastAsia="zh-CN"/>
        </w:rPr>
      </w:pPr>
    </w:p>
    <w:p w14:paraId="30FFB136">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drawing>
          <wp:inline distT="0" distB="0" distL="114300" distR="114300">
            <wp:extent cx="5892800" cy="8325485"/>
            <wp:effectExtent l="0" t="0" r="0" b="5715"/>
            <wp:docPr id="7" name="图片 7" descr="94e7df837f44daf0bdd6842519da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4e7df837f44daf0bdd6842519da33f"/>
                    <pic:cNvPicPr>
                      <a:picLocks noChangeAspect="1"/>
                    </pic:cNvPicPr>
                  </pic:nvPicPr>
                  <pic:blipFill>
                    <a:blip r:embed="rId12"/>
                    <a:srcRect/>
                    <a:stretch>
                      <a:fillRect/>
                    </a:stretch>
                  </pic:blipFill>
                  <pic:spPr>
                    <a:xfrm>
                      <a:off x="0" y="0"/>
                      <a:ext cx="5892800" cy="8325485"/>
                    </a:xfrm>
                    <a:prstGeom prst="rect">
                      <a:avLst/>
                    </a:prstGeom>
                  </pic:spPr>
                </pic:pic>
              </a:graphicData>
            </a:graphic>
          </wp:inline>
        </w:drawing>
      </w:r>
    </w:p>
    <w:p w14:paraId="76D45960">
      <w:pPr>
        <w:pStyle w:val="2"/>
        <w:ind w:left="0" w:leftChars="0" w:firstLine="0" w:firstLineChars="0"/>
        <w:rPr>
          <w:rFonts w:hint="eastAsia" w:ascii="宋体" w:eastAsia="宋体"/>
          <w:kern w:val="0"/>
          <w:sz w:val="28"/>
          <w:szCs w:val="20"/>
          <w:lang w:val="en-US" w:eastAsia="zh-CN"/>
        </w:rPr>
      </w:pPr>
    </w:p>
    <w:p w14:paraId="6089BADB">
      <w:pPr>
        <w:pStyle w:val="2"/>
        <w:ind w:left="0" w:leftChars="0" w:firstLine="0" w:firstLineChars="0"/>
        <w:rPr>
          <w:rFonts w:hint="eastAsia" w:ascii="宋体" w:eastAsia="宋体"/>
          <w:kern w:val="0"/>
          <w:sz w:val="28"/>
          <w:szCs w:val="20"/>
          <w:lang w:val="en-US" w:eastAsia="zh-CN"/>
        </w:rPr>
      </w:pPr>
    </w:p>
    <w:p w14:paraId="725DBA6C">
      <w:pPr>
        <w:pStyle w:val="2"/>
        <w:ind w:left="0" w:leftChars="0" w:firstLine="0" w:firstLineChars="0"/>
        <w:rPr>
          <w:rFonts w:hint="eastAsia" w:ascii="宋体" w:eastAsia="宋体"/>
          <w:kern w:val="0"/>
          <w:sz w:val="28"/>
          <w:szCs w:val="20"/>
          <w:lang w:val="en-US" w:eastAsia="zh-CN"/>
        </w:rPr>
      </w:pPr>
      <w:r>
        <w:rPr>
          <w:rFonts w:hint="eastAsia" w:ascii="宋体" w:eastAsia="宋体"/>
          <w:kern w:val="0"/>
          <w:sz w:val="28"/>
          <w:szCs w:val="20"/>
          <w:lang w:val="en-US" w:eastAsia="zh-CN"/>
        </w:rPr>
        <w:drawing>
          <wp:inline distT="0" distB="0" distL="114300" distR="114300">
            <wp:extent cx="5796915" cy="8979535"/>
            <wp:effectExtent l="0" t="0" r="6985" b="12065"/>
            <wp:docPr id="8" name="图片 8" descr="be7d88e781b7d773405b721e913b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e7d88e781b7d773405b721e913b8a5"/>
                    <pic:cNvPicPr>
                      <a:picLocks noChangeAspect="1"/>
                    </pic:cNvPicPr>
                  </pic:nvPicPr>
                  <pic:blipFill>
                    <a:blip r:embed="rId13"/>
                    <a:srcRect/>
                    <a:stretch>
                      <a:fillRect/>
                    </a:stretch>
                  </pic:blipFill>
                  <pic:spPr>
                    <a:xfrm>
                      <a:off x="0" y="0"/>
                      <a:ext cx="5796915" cy="8979535"/>
                    </a:xfrm>
                    <a:prstGeom prst="rect">
                      <a:avLst/>
                    </a:prstGeom>
                  </pic:spPr>
                </pic:pic>
              </a:graphicData>
            </a:graphic>
          </wp:inline>
        </w:drawing>
      </w:r>
    </w:p>
    <w:sectPr>
      <w:pgSz w:w="11906" w:h="16838"/>
      <w:pgMar w:top="1417" w:right="1134" w:bottom="1134" w:left="136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GNkYjBkMDkzYWY3ZjdlZTlmNGIwMTVmZWNkYjQifQ=="/>
  </w:docVars>
  <w:rsids>
    <w:rsidRoot w:val="439D752C"/>
    <w:rsid w:val="0EC3268C"/>
    <w:rsid w:val="2AF87908"/>
    <w:rsid w:val="2B511820"/>
    <w:rsid w:val="2CF8435A"/>
    <w:rsid w:val="36920A93"/>
    <w:rsid w:val="439D752C"/>
    <w:rsid w:val="5F445E73"/>
    <w:rsid w:val="7EC2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8"/>
      <w:szCs w:val="20"/>
      <w:u w:color="000000"/>
    </w:rPr>
  </w:style>
  <w:style w:type="character" w:styleId="5">
    <w:name w:val="annotation reference"/>
    <w:qFormat/>
    <w:uiPriority w:val="99"/>
    <w:rPr>
      <w:sz w:val="21"/>
      <w:szCs w:val="21"/>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6评价正文"/>
    <w:autoRedefine/>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9">
    <w:name w:val="1评价标题"/>
    <w:autoRedefine/>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0">
    <w:name w:val="5标题评价表格"/>
    <w:autoRedefine/>
    <w:qFormat/>
    <w:uiPriority w:val="0"/>
    <w:pPr>
      <w:spacing w:line="520" w:lineRule="exact"/>
      <w:jc w:val="center"/>
      <w:outlineLvl w:val="4"/>
    </w:pPr>
    <w:rPr>
      <w:rFonts w:ascii="Times New Roman" w:hAnsi="Times New Roman" w:eastAsia="黑体" w:cs="Times New Roman"/>
      <w:kern w:val="2"/>
      <w:sz w:val="24"/>
      <w:szCs w:val="28"/>
      <w:u w:val="none" w:color="000000"/>
      <w:lang w:val="en-US" w:eastAsia="zh-CN" w:bidi="ar-SA"/>
    </w:rPr>
  </w:style>
  <w:style w:type="paragraph" w:customStyle="1" w:styleId="11">
    <w:name w:val="5内容评价表格"/>
    <w:autoRedefine/>
    <w:qFormat/>
    <w:uiPriority w:val="0"/>
    <w:pPr>
      <w:spacing w:line="300" w:lineRule="exact"/>
      <w:jc w:val="center"/>
    </w:pPr>
    <w:rPr>
      <w:rFonts w:ascii="Times New Roman" w:hAnsi="Times New Roman" w:eastAsia="宋体" w:cs="Times New Roman"/>
      <w:kern w:val="2"/>
      <w:sz w:val="21"/>
      <w:szCs w:val="21"/>
      <w:u w:val="none" w:color="000000"/>
      <w:lang w:val="en-US" w:eastAsia="zh-CN" w:bidi="ar-SA"/>
    </w:rPr>
  </w:style>
  <w:style w:type="paragraph" w:customStyle="1" w:styleId="12">
    <w:name w:val="7评价备注"/>
    <w:autoRedefine/>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3">
    <w:name w:val="3评价标题"/>
    <w:autoRedefine/>
    <w:qFormat/>
    <w:uiPriority w:val="0"/>
    <w:pPr>
      <w:spacing w:line="520" w:lineRule="exact"/>
      <w:ind w:firstLine="200" w:firstLineChars="200"/>
      <w:outlineLvl w:val="2"/>
    </w:pPr>
    <w:rPr>
      <w:rFonts w:ascii="Times New Roman" w:hAnsi="Times New Roman" w:eastAsia="黑体" w:cs="Times New Roman"/>
      <w:sz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1032</Words>
  <Characters>1150</Characters>
  <Lines>0</Lines>
  <Paragraphs>0</Paragraphs>
  <TotalTime>3</TotalTime>
  <ScaleCrop>false</ScaleCrop>
  <LinksUpToDate>false</LinksUpToDate>
  <CharactersWithSpaces>1171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2024-08-06T03:49:00Z</dcterms:created>
  <dc:creator>Administrator</dc:creator>
  <cp:lastModifiedBy>86138</cp:lastModifiedBy>
  <dcterms:modified xsi:type="dcterms:W3CDTF">2025-06-04T03:34:06Z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68E79501D11842178A9097CCE2A3EF02_11</vt:lpwstr>
  </property>
  <property fmtid="{D5CDD505-2E9C-101B-9397-08002B2CF9AE}" pid="4" name="KSOTemplateDocerSaveRecord">
    <vt:lpwstr>eyJoZGlkIjoiZjMxZWMwZmRjMzZlYzM2NWRiYjJmYjFkYTJjZWJiMTcifQ==</vt:lpwstr>
  </property>
</Properties>
</file>