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w:t>
      </w:r>
      <w:r>
        <w:rPr>
          <w:rFonts w:hint="eastAsia" w:ascii="黑体" w:hAnsi="黑体" w:eastAsia="黑体" w:cs="黑体"/>
          <w:spacing w:val="-1"/>
          <w:sz w:val="28"/>
          <w:szCs w:val="28"/>
          <w:lang w:val="en-US" w:eastAsia="zh-CN"/>
        </w:rPr>
        <w:t>肥城</w:t>
      </w:r>
      <w:r>
        <w:rPr>
          <w:rFonts w:hint="eastAsia" w:ascii="黑体" w:hAnsi="黑体" w:eastAsia="黑体" w:cs="黑体"/>
          <w:spacing w:val="-1"/>
          <w:sz w:val="28"/>
          <w:szCs w:val="28"/>
          <w:lang w:eastAsia="zh-CN"/>
        </w:rPr>
        <w:t>第</w:t>
      </w:r>
      <w:r>
        <w:rPr>
          <w:rFonts w:hint="eastAsia" w:ascii="黑体" w:hAnsi="黑体" w:eastAsia="黑体" w:cs="黑体"/>
          <w:spacing w:val="-1"/>
          <w:sz w:val="28"/>
          <w:szCs w:val="28"/>
          <w:lang w:val="en-US" w:eastAsia="zh-CN"/>
        </w:rPr>
        <w:t>四</w:t>
      </w:r>
      <w:r>
        <w:rPr>
          <w:rFonts w:hint="eastAsia" w:ascii="黑体" w:hAnsi="黑体" w:eastAsia="黑体" w:cs="黑体"/>
          <w:spacing w:val="-1"/>
          <w:sz w:val="28"/>
          <w:szCs w:val="28"/>
          <w:lang w:eastAsia="zh-CN"/>
        </w:rPr>
        <w:t>加油</w:t>
      </w:r>
      <w:r>
        <w:rPr>
          <w:rFonts w:hint="eastAsia" w:ascii="黑体" w:hAnsi="黑体" w:eastAsia="黑体" w:cs="黑体"/>
          <w:spacing w:val="-1"/>
          <w:sz w:val="28"/>
          <w:szCs w:val="28"/>
          <w:lang w:val="en-US" w:eastAsia="zh-CN"/>
        </w:rPr>
        <w:t>加气</w:t>
      </w:r>
      <w:r>
        <w:rPr>
          <w:rFonts w:hint="eastAsia" w:ascii="黑体" w:hAnsi="黑体" w:eastAsia="黑体" w:cs="黑体"/>
          <w:spacing w:val="-1"/>
          <w:sz w:val="28"/>
          <w:szCs w:val="28"/>
          <w:lang w:eastAsia="zh-CN"/>
        </w:rPr>
        <w:t>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w:t>
            </w:r>
            <w:r>
              <w:rPr>
                <w:rFonts w:hint="eastAsia"/>
                <w:spacing w:val="9"/>
                <w:lang w:val="en-US" w:eastAsia="zh-CN"/>
              </w:rPr>
              <w:t>肥城</w:t>
            </w:r>
            <w:r>
              <w:rPr>
                <w:rFonts w:hint="eastAsia"/>
                <w:spacing w:val="9"/>
                <w:lang w:eastAsia="zh-CN"/>
              </w:rPr>
              <w:t>第</w:t>
            </w:r>
            <w:r>
              <w:rPr>
                <w:rFonts w:hint="eastAsia"/>
                <w:spacing w:val="9"/>
                <w:lang w:val="en-US" w:eastAsia="zh-CN"/>
              </w:rPr>
              <w:t>四</w:t>
            </w:r>
            <w:r>
              <w:rPr>
                <w:rFonts w:hint="eastAsia"/>
                <w:spacing w:val="9"/>
                <w:lang w:eastAsia="zh-CN"/>
              </w:rPr>
              <w:t>加油</w:t>
            </w:r>
            <w:r>
              <w:rPr>
                <w:rFonts w:hint="eastAsia"/>
                <w:spacing w:val="9"/>
                <w:lang w:val="en-US" w:eastAsia="zh-CN"/>
              </w:rPr>
              <w:t>加气</w:t>
            </w:r>
            <w:r>
              <w:rPr>
                <w:rFonts w:hint="eastAsia"/>
                <w:spacing w:val="9"/>
                <w:lang w:eastAsia="zh-CN"/>
              </w:rPr>
              <w:t>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3A86AF54">
            <w:pPr>
              <w:pStyle w:val="6"/>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油罐区、加油区等。站房在加油区西南侧，现有4台加油机（其中3台双枪、1台单枪），均为自吸式；其油罐采用双层卧式直埋（1台30m392#乙醇汽油罐、1台30m395#汽油罐、1台30m398#汽油罐、1台30m3柴油罐），汽油、柴油卸油口均位于油罐区西侧，罐区共有通气管3根；该站汽油设有卸油油气回收系统、加油油气回收系统；按《汽车加油加气加氢站技术标准》 GB50156-2021标准规定：V=90+30/2=105m3，该站属二级加油站。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rFonts w:hint="eastAsia"/>
                <w:spacing w:val="7"/>
                <w:lang w:val="en-US" w:eastAsia="zh-CN"/>
              </w:rPr>
              <w:t>辛 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default" w:eastAsia="宋体"/>
                <w:lang w:val="en-US" w:eastAsia="zh-CN"/>
              </w:rPr>
            </w:pPr>
            <w:r>
              <w:rPr>
                <w:rFonts w:hint="eastAsia"/>
                <w:lang w:val="en-US" w:eastAsia="zh-CN"/>
              </w:rPr>
              <w:t>辛  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3.12.7</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12.1</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4.12.4</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w:t>
            </w:r>
            <w:r>
              <w:rPr>
                <w:rFonts w:hint="eastAsia" w:ascii="Times New Roman" w:hAnsi="Times New Roman" w:cs="Times New Roman"/>
                <w:spacing w:val="6"/>
                <w:lang w:val="en-US" w:eastAsia="zh-CN"/>
              </w:rPr>
              <w:t>2.16</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059A2321">
      <w:pPr>
        <w:pStyle w:val="2"/>
        <w:ind w:left="0" w:leftChars="0" w:firstLine="0" w:firstLineChars="0"/>
        <w:rPr>
          <w:rFonts w:hint="default" w:eastAsia="宋体"/>
          <w:lang w:val="en-US" w:eastAsia="zh-CN"/>
        </w:rPr>
      </w:pPr>
    </w:p>
    <w:p w14:paraId="2CDE0619">
      <w:pPr>
        <w:pStyle w:val="2"/>
        <w:ind w:left="0" w:leftChars="0" w:firstLine="0" w:firstLineChars="0"/>
        <w:rPr>
          <w:rFonts w:hint="eastAsia" w:eastAsia="宋体"/>
          <w:lang w:eastAsia="zh-CN"/>
        </w:rPr>
      </w:pPr>
    </w:p>
    <w:p w14:paraId="7D5A2701">
      <w:pPr>
        <w:pStyle w:val="2"/>
        <w:ind w:left="0" w:leftChars="0" w:firstLine="0" w:firstLineChars="0"/>
        <w:rPr>
          <w:rFonts w:hint="eastAsia" w:eastAsia="宋体"/>
          <w:lang w:eastAsia="zh-CN"/>
        </w:rPr>
      </w:pPr>
      <w:bookmarkStart w:id="63" w:name="_GoBack"/>
      <w:r>
        <w:rPr>
          <w:rFonts w:hint="eastAsia" w:eastAsia="宋体"/>
          <w:lang w:eastAsia="zh-CN"/>
        </w:rPr>
        <w:drawing>
          <wp:inline distT="0" distB="0" distL="114300" distR="114300">
            <wp:extent cx="5971540" cy="8472170"/>
            <wp:effectExtent l="0" t="0" r="10160" b="11430"/>
            <wp:docPr id="9" name="图片 9" descr="e39cc59d95582c2fad9753c6ede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9cc59d95582c2fad9753c6ede9095"/>
                    <pic:cNvPicPr>
                      <a:picLocks noChangeAspect="1"/>
                    </pic:cNvPicPr>
                  </pic:nvPicPr>
                  <pic:blipFill>
                    <a:blip r:embed="rId6"/>
                    <a:stretch>
                      <a:fillRect/>
                    </a:stretch>
                  </pic:blipFill>
                  <pic:spPr>
                    <a:xfrm>
                      <a:off x="0" y="0"/>
                      <a:ext cx="5971540" cy="8472170"/>
                    </a:xfrm>
                    <a:prstGeom prst="rect">
                      <a:avLst/>
                    </a:prstGeom>
                  </pic:spPr>
                </pic:pic>
              </a:graphicData>
            </a:graphic>
          </wp:inline>
        </w:drawing>
      </w:r>
      <w:bookmarkEnd w:id="63"/>
    </w:p>
    <w:p w14:paraId="472F9B23">
      <w:pPr>
        <w:pStyle w:val="2"/>
        <w:ind w:left="0" w:leftChars="0" w:firstLine="0" w:firstLineChars="0"/>
        <w:rPr>
          <w:rFonts w:hint="eastAsia" w:eastAsia="宋体"/>
          <w:lang w:eastAsia="zh-CN"/>
        </w:rPr>
      </w:pP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95315" cy="9041130"/>
            <wp:effectExtent l="0" t="0" r="6985" b="1270"/>
            <wp:docPr id="10" name="图片 10" descr="695445960c629e8d12103c591600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95445960c629e8d12103c5916009aa"/>
                    <pic:cNvPicPr>
                      <a:picLocks noChangeAspect="1"/>
                    </pic:cNvPicPr>
                  </pic:nvPicPr>
                  <pic:blipFill>
                    <a:blip r:embed="rId7"/>
                    <a:stretch>
                      <a:fillRect/>
                    </a:stretch>
                  </pic:blipFill>
                  <pic:spPr>
                    <a:xfrm>
                      <a:off x="0" y="0"/>
                      <a:ext cx="5695315" cy="9041130"/>
                    </a:xfrm>
                    <a:prstGeom prst="rect">
                      <a:avLst/>
                    </a:prstGeom>
                  </pic:spPr>
                </pic:pic>
              </a:graphicData>
            </a:graphic>
          </wp:inline>
        </w:drawing>
      </w:r>
      <w:r>
        <w:rPr>
          <w:rFonts w:hint="eastAsia" w:eastAsia="宋体"/>
          <w:lang w:eastAsia="zh-CN"/>
        </w:rPr>
        <w:drawing>
          <wp:inline distT="0" distB="0" distL="114300" distR="114300">
            <wp:extent cx="5667375" cy="9062720"/>
            <wp:effectExtent l="0" t="0" r="9525" b="5080"/>
            <wp:docPr id="11" name="图片 11" descr="4a5bdb6e3aed734f68943089259e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5bdb6e3aed734f68943089259ed70"/>
                    <pic:cNvPicPr>
                      <a:picLocks noChangeAspect="1"/>
                    </pic:cNvPicPr>
                  </pic:nvPicPr>
                  <pic:blipFill>
                    <a:blip r:embed="rId8"/>
                    <a:stretch>
                      <a:fillRect/>
                    </a:stretch>
                  </pic:blipFill>
                  <pic:spPr>
                    <a:xfrm>
                      <a:off x="0" y="0"/>
                      <a:ext cx="5667375" cy="9062720"/>
                    </a:xfrm>
                    <a:prstGeom prst="rect">
                      <a:avLst/>
                    </a:prstGeom>
                  </pic:spPr>
                </pic:pic>
              </a:graphicData>
            </a:graphic>
          </wp:inline>
        </w:drawing>
      </w: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0270" cy="4477385"/>
            <wp:effectExtent l="0" t="0" r="11430" b="5715"/>
            <wp:docPr id="13" name="图片 13" descr="IMG_20241204_14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04_142110"/>
                    <pic:cNvPicPr>
                      <a:picLocks noChangeAspect="1"/>
                    </pic:cNvPicPr>
                  </pic:nvPicPr>
                  <pic:blipFill>
                    <a:blip r:embed="rId9"/>
                    <a:stretch>
                      <a:fillRect/>
                    </a:stretch>
                  </pic:blipFill>
                  <pic:spPr>
                    <a:xfrm>
                      <a:off x="0" y="0"/>
                      <a:ext cx="5970270" cy="4477385"/>
                    </a:xfrm>
                    <a:prstGeom prst="rect">
                      <a:avLst/>
                    </a:prstGeom>
                  </pic:spPr>
                </pic:pic>
              </a:graphicData>
            </a:graphic>
          </wp:inline>
        </w:drawing>
      </w:r>
      <w:r>
        <w:rPr>
          <w:rFonts w:hint="eastAsia" w:eastAsia="宋体"/>
          <w:lang w:eastAsia="zh-CN"/>
        </w:rPr>
        <w:drawing>
          <wp:inline distT="0" distB="0" distL="114300" distR="114300">
            <wp:extent cx="5970270" cy="4477385"/>
            <wp:effectExtent l="0" t="0" r="11430" b="5715"/>
            <wp:docPr id="14" name="图片 14" descr="IMG_20241204_1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04_142150"/>
                    <pic:cNvPicPr>
                      <a:picLocks noChangeAspect="1"/>
                    </pic:cNvPicPr>
                  </pic:nvPicPr>
                  <pic:blipFill>
                    <a:blip r:embed="rId10"/>
                    <a:stretch>
                      <a:fillRect/>
                    </a:stretch>
                  </pic:blipFill>
                  <pic:spPr>
                    <a:xfrm>
                      <a:off x="0" y="0"/>
                      <a:ext cx="5970270" cy="4477385"/>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4395"/>
      <w:bookmarkStart w:id="1" w:name="_Toc102633895"/>
      <w:bookmarkStart w:id="2" w:name="_Toc15033742"/>
      <w:bookmarkStart w:id="3" w:name="_Toc102634226"/>
      <w:bookmarkStart w:id="4" w:name="_Toc102633969"/>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3970"/>
      <w:bookmarkStart w:id="6" w:name="_Toc15033743"/>
      <w:bookmarkStart w:id="7" w:name="_Toc102634396"/>
      <w:bookmarkStart w:id="8" w:name="_Toc30066"/>
      <w:bookmarkStart w:id="9" w:name="_Toc208733856"/>
      <w:bookmarkStart w:id="10" w:name="_Toc26504"/>
      <w:bookmarkStart w:id="11" w:name="_Toc272364524"/>
      <w:bookmarkStart w:id="12" w:name="_Toc102633896"/>
      <w:bookmarkStart w:id="13" w:name="_Toc102634227"/>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7EA8CEE7">
      <w:pPr>
        <w:adjustRightInd w:val="0"/>
        <w:snapToGrid w:val="0"/>
        <w:spacing w:line="360" w:lineRule="auto"/>
        <w:ind w:firstLine="560" w:firstLineChars="200"/>
        <w:rPr>
          <w:rFonts w:ascii="宋体"/>
          <w:color w:val="000000" w:themeColor="text1"/>
          <w14:textFill>
            <w14:solidFill>
              <w14:schemeClr w14:val="tx1"/>
            </w14:solidFill>
          </w14:textFill>
        </w:rPr>
      </w:pPr>
      <w:bookmarkStart w:id="14" w:name="_Toc102634406"/>
      <w:bookmarkStart w:id="15" w:name="_Toc102633906"/>
      <w:bookmarkStart w:id="16" w:name="_Toc102634255"/>
      <w:bookmarkStart w:id="17" w:name="_Toc102633980"/>
      <w:r>
        <w:rPr>
          <w:rFonts w:hint="eastAsia" w:ascii="宋体" w:hAnsi="宋体"/>
          <w:sz w:val="28"/>
          <w:szCs w:val="28"/>
        </w:rPr>
        <w:t>中国石化山东泰山石油股份有限公司</w:t>
      </w:r>
      <w:r>
        <w:rPr>
          <w:rFonts w:hint="eastAsia" w:ascii="宋体" w:hAnsi="宋体"/>
          <w:sz w:val="28"/>
          <w:szCs w:val="28"/>
          <w:lang w:val="en-US" w:eastAsia="zh-CN"/>
        </w:rPr>
        <w:t>肥城第四</w:t>
      </w:r>
      <w:r>
        <w:rPr>
          <w:rFonts w:hint="eastAsia" w:ascii="宋体" w:hAnsi="宋体"/>
          <w:sz w:val="28"/>
          <w:szCs w:val="28"/>
        </w:rPr>
        <w:t>加油站</w:t>
      </w:r>
      <w:r>
        <w:rPr>
          <w:rFonts w:hint="eastAsia" w:ascii="宋体" w:hAnsi="宋体"/>
          <w:sz w:val="28"/>
          <w:szCs w:val="28"/>
          <w:lang w:val="en-US" w:eastAsia="zh-CN"/>
        </w:rPr>
        <w:t>位于</w:t>
      </w:r>
      <w:r>
        <w:rPr>
          <w:rFonts w:hint="eastAsia" w:ascii="宋体" w:hAnsi="宋体"/>
          <w:color w:val="000000" w:themeColor="text1"/>
          <w:sz w:val="28"/>
          <w:szCs w:val="28"/>
          <w:lang w:eastAsia="zh-CN"/>
          <w14:textFill>
            <w14:solidFill>
              <w14:schemeClr w14:val="tx1"/>
            </w14:solidFill>
          </w14:textFill>
        </w:rPr>
        <w:t>山东省肥城市</w:t>
      </w:r>
      <w:r>
        <w:rPr>
          <w:rFonts w:hint="default" w:ascii="宋体" w:hAnsi="宋体"/>
          <w:color w:val="auto"/>
          <w:sz w:val="28"/>
          <w:szCs w:val="28"/>
          <w:lang w:val="en-US" w:eastAsia="zh-CN"/>
        </w:rPr>
        <w:t>石横镇南高余村</w:t>
      </w:r>
      <w:r>
        <w:rPr>
          <w:rFonts w:hint="eastAsia" w:ascii="宋体" w:hAnsi="宋体"/>
          <w:color w:val="auto"/>
          <w:sz w:val="28"/>
          <w:szCs w:val="28"/>
          <w:lang w:val="en-US" w:eastAsia="zh-CN"/>
        </w:rPr>
        <w:t>。</w:t>
      </w:r>
      <w:r>
        <w:rPr>
          <w:rFonts w:hint="eastAsia" w:ascii="宋体" w:hAnsi="宋体"/>
          <w:color w:val="auto"/>
          <w:sz w:val="28"/>
          <w:szCs w:val="28"/>
          <w:lang w:eastAsia="zh-CN"/>
        </w:rPr>
        <w:t>加油站北侧为</w:t>
      </w:r>
      <w:r>
        <w:rPr>
          <w:rFonts w:hint="eastAsia" w:ascii="宋体" w:hAnsi="宋体"/>
          <w:color w:val="auto"/>
          <w:sz w:val="28"/>
          <w:szCs w:val="28"/>
          <w:lang w:val="en-US" w:eastAsia="zh-CN"/>
        </w:rPr>
        <w:t>架空电力线，</w:t>
      </w:r>
      <w:r>
        <w:rPr>
          <w:rFonts w:hint="eastAsia" w:ascii="宋体" w:hAnsi="宋体"/>
          <w:color w:val="auto"/>
          <w:sz w:val="28"/>
          <w:szCs w:val="28"/>
          <w:lang w:eastAsia="zh-CN"/>
        </w:rPr>
        <w:t>南侧为</w:t>
      </w:r>
      <w:r>
        <w:rPr>
          <w:rFonts w:hint="eastAsia" w:ascii="宋体" w:hAnsi="宋体"/>
          <w:color w:val="auto"/>
          <w:sz w:val="28"/>
          <w:szCs w:val="28"/>
          <w:lang w:val="en-US" w:eastAsia="zh-CN"/>
        </w:rPr>
        <w:t>宾馆、空地，</w:t>
      </w:r>
      <w:r>
        <w:rPr>
          <w:rFonts w:hint="eastAsia" w:ascii="宋体" w:hAnsi="宋体"/>
          <w:color w:val="auto"/>
          <w:sz w:val="28"/>
          <w:szCs w:val="28"/>
          <w:lang w:eastAsia="zh-CN"/>
        </w:rPr>
        <w:t>西侧</w:t>
      </w:r>
      <w:r>
        <w:rPr>
          <w:rFonts w:hint="eastAsia" w:ascii="宋体" w:hAnsi="宋体"/>
          <w:color w:val="auto"/>
          <w:sz w:val="28"/>
          <w:szCs w:val="28"/>
          <w:lang w:val="en-US" w:eastAsia="zh-CN"/>
        </w:rPr>
        <w:t>为架空通信线、钢厂路，</w:t>
      </w:r>
      <w:r>
        <w:rPr>
          <w:rFonts w:hint="eastAsia" w:ascii="宋体" w:hAnsi="宋体"/>
          <w:color w:val="auto"/>
          <w:sz w:val="28"/>
          <w:szCs w:val="28"/>
          <w:lang w:eastAsia="zh-CN"/>
        </w:rPr>
        <w:t>东侧是</w:t>
      </w:r>
      <w:r>
        <w:rPr>
          <w:rFonts w:hint="eastAsia" w:ascii="宋体" w:hAnsi="宋体"/>
          <w:color w:val="auto"/>
          <w:sz w:val="28"/>
          <w:szCs w:val="28"/>
          <w:lang w:val="en-US" w:eastAsia="zh-CN"/>
        </w:rPr>
        <w:t>纸厂路</w:t>
      </w:r>
      <w:r>
        <w:rPr>
          <w:rFonts w:hint="eastAsia" w:ascii="宋体" w:hAnsi="宋体"/>
          <w:color w:val="auto"/>
          <w:sz w:val="28"/>
          <w:szCs w:val="28"/>
          <w:lang w:eastAsia="zh-CN"/>
        </w:rPr>
        <w:t>。</w:t>
      </w:r>
      <w:r>
        <w:rPr>
          <w:rFonts w:hint="eastAsia" w:ascii="宋体" w:hAnsi="宋体"/>
          <w:sz w:val="28"/>
        </w:rPr>
        <w:t>该站经营许可范围为汽油、乙醇汽油、柴油，现其主要储存经营汽油、乙醇汽油、柴油</w:t>
      </w:r>
      <w:r>
        <w:rPr>
          <w:rFonts w:hint="eastAsia" w:ascii="宋体" w:hAnsi="宋体"/>
          <w:snapToGrid w:val="0"/>
          <w:kern w:val="0"/>
          <w:sz w:val="28"/>
        </w:rPr>
        <w:t>（0#与-10#换季销售）。</w:t>
      </w:r>
      <w:r>
        <w:rPr>
          <w:rFonts w:hint="eastAsia" w:ascii="宋体" w:hAnsi="宋体"/>
          <w:color w:val="000000" w:themeColor="text1"/>
          <w:sz w:val="28"/>
          <w14:textFill>
            <w14:solidFill>
              <w14:schemeClr w14:val="tx1"/>
            </w14:solidFill>
          </w14:textFill>
        </w:rPr>
        <w:t>此次现状评价报告与三年前报告相比，</w:t>
      </w:r>
      <w:r>
        <w:rPr>
          <w:rFonts w:hint="eastAsia" w:ascii="宋体" w:hAnsi="宋体"/>
          <w:color w:val="000000" w:themeColor="text1"/>
          <w:sz w:val="28"/>
          <w:lang w:val="en-US" w:eastAsia="zh-CN"/>
          <w14:textFill>
            <w14:solidFill>
              <w14:schemeClr w14:val="tx1"/>
            </w14:solidFill>
          </w14:textFill>
        </w:rPr>
        <w:t>增加了3个可燃气体探测器</w:t>
      </w:r>
      <w:r>
        <w:rPr>
          <w:rFonts w:hint="eastAsia" w:ascii="宋体" w:hAnsi="宋体"/>
          <w:color w:val="000000" w:themeColor="text1"/>
          <w:sz w:val="28"/>
          <w:lang w:eastAsia="zh-CN"/>
          <w14:textFill>
            <w14:solidFill>
              <w14:schemeClr w14:val="tx1"/>
            </w14:solidFill>
          </w14:textFill>
        </w:rPr>
        <w:t>，</w:t>
      </w:r>
      <w:r>
        <w:rPr>
          <w:rFonts w:hint="eastAsia" w:ascii="宋体" w:hAnsi="宋体"/>
          <w:color w:val="000000" w:themeColor="text1"/>
          <w:sz w:val="28"/>
          <w:lang w:val="en-US" w:eastAsia="zh-CN"/>
          <w14:textFill>
            <w14:solidFill>
              <w14:schemeClr w14:val="tx1"/>
            </w14:solidFill>
          </w14:textFill>
        </w:rPr>
        <w:t>总平面布置和</w:t>
      </w:r>
      <w:r>
        <w:rPr>
          <w:rFonts w:hint="eastAsia" w:ascii="宋体" w:hAnsi="宋体"/>
          <w:color w:val="000000" w:themeColor="text1"/>
          <w:sz w:val="28"/>
          <w14:textFill>
            <w14:solidFill>
              <w14:schemeClr w14:val="tx1"/>
            </w14:solidFill>
          </w14:textFill>
        </w:rPr>
        <w:t>周边</w:t>
      </w:r>
      <w:r>
        <w:rPr>
          <w:rFonts w:hint="eastAsia" w:ascii="宋体" w:hAnsi="宋体"/>
          <w:color w:val="000000" w:themeColor="text1"/>
          <w:sz w:val="28"/>
          <w:lang w:val="en-US" w:eastAsia="zh-CN"/>
          <w14:textFill>
            <w14:solidFill>
              <w14:schemeClr w14:val="tx1"/>
            </w14:solidFill>
          </w14:textFill>
        </w:rPr>
        <w:t>环境无其他变化。</w:t>
      </w:r>
    </w:p>
    <w:p w14:paraId="15FE5C60">
      <w:pPr>
        <w:pStyle w:val="8"/>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该加油站主要建有站房、油罐区、加油区等。站房在加油区</w:t>
      </w:r>
      <w:r>
        <w:rPr>
          <w:rFonts w:hint="eastAsia" w:ascii="宋体" w:hAnsi="宋体"/>
          <w:szCs w:val="28"/>
          <w:lang w:val="en-US" w:eastAsia="zh-CN"/>
        </w:rPr>
        <w:t>西</w:t>
      </w:r>
      <w:r>
        <w:rPr>
          <w:rFonts w:hint="eastAsia" w:ascii="宋体" w:hAnsi="宋体"/>
          <w:szCs w:val="28"/>
        </w:rPr>
        <w:t>南侧，</w:t>
      </w:r>
      <w:r>
        <w:rPr>
          <w:rFonts w:hint="eastAsia" w:ascii="宋体" w:hAnsi="宋体"/>
          <w:kern w:val="2"/>
          <w:szCs w:val="21"/>
        </w:rPr>
        <w:t>现有4台加油机（其中3台双枪、1台单枪）</w:t>
      </w:r>
      <w:r>
        <w:rPr>
          <w:rFonts w:hint="eastAsia"/>
        </w:rPr>
        <w:t>，</w:t>
      </w:r>
      <w:r>
        <w:rPr>
          <w:rFonts w:hint="eastAsia" w:ascii="宋体" w:hAnsi="宋体"/>
          <w:color w:val="000000" w:themeColor="text1"/>
          <w:kern w:val="2"/>
          <w:szCs w:val="21"/>
          <w14:textFill>
            <w14:solidFill>
              <w14:schemeClr w14:val="tx1"/>
            </w14:solidFill>
          </w14:textFill>
        </w:rPr>
        <w:t>均为自吸式</w:t>
      </w:r>
      <w:r>
        <w:rPr>
          <w:rFonts w:hint="eastAsia" w:ascii="宋体"/>
        </w:rPr>
        <w:t>；其</w:t>
      </w:r>
      <w:r>
        <w:rPr>
          <w:rFonts w:hint="eastAsia" w:ascii="宋体" w:hAnsi="宋体"/>
          <w:szCs w:val="28"/>
        </w:rPr>
        <w:t>油罐采用双层卧式直埋（1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92#乙醇汽油罐、</w:t>
      </w:r>
      <w:r>
        <w:rPr>
          <w:rFonts w:hint="eastAsia" w:ascii="宋体" w:hAnsi="宋体"/>
          <w:szCs w:val="28"/>
        </w:rPr>
        <w:t>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95#汽油罐、</w:t>
      </w:r>
      <w:r>
        <w:rPr>
          <w:rFonts w:hint="eastAsia" w:ascii="宋体" w:hAnsi="宋体"/>
          <w:szCs w:val="28"/>
        </w:rPr>
        <w:t>1</w:t>
      </w:r>
      <w:r>
        <w:rPr>
          <w:rFonts w:hint="eastAsia" w:ascii="宋体"/>
        </w:rPr>
        <w:t>台</w:t>
      </w:r>
      <w:r>
        <w:rPr>
          <w:rFonts w:hint="eastAsia" w:ascii="宋体"/>
          <w:lang w:val="en-US" w:eastAsia="zh-CN"/>
        </w:rPr>
        <w:t>3</w:t>
      </w:r>
      <w:r>
        <w:rPr>
          <w:rFonts w:ascii="宋体"/>
        </w:rPr>
        <w:t>0</w:t>
      </w:r>
      <w:r>
        <w:rPr>
          <w:rFonts w:hint="eastAsia" w:ascii="宋体"/>
        </w:rPr>
        <w:t>m</w:t>
      </w:r>
      <w:r>
        <w:rPr>
          <w:rFonts w:hint="eastAsia" w:ascii="宋体"/>
          <w:vertAlign w:val="superscript"/>
        </w:rPr>
        <w:t>3</w:t>
      </w:r>
      <w:r>
        <w:rPr>
          <w:rFonts w:hint="eastAsia" w:ascii="宋体"/>
        </w:rPr>
        <w:t>98#汽油罐、1台</w:t>
      </w:r>
      <w:r>
        <w:rPr>
          <w:rFonts w:hint="eastAsia" w:ascii="宋体"/>
          <w:lang w:val="en-US" w:eastAsia="zh-CN"/>
        </w:rPr>
        <w:t>3</w:t>
      </w:r>
      <w:r>
        <w:rPr>
          <w:rFonts w:ascii="宋体"/>
        </w:rPr>
        <w:t>0</w:t>
      </w:r>
      <w:r>
        <w:rPr>
          <w:rFonts w:hint="eastAsia" w:ascii="宋体"/>
        </w:rPr>
        <w:t>m</w:t>
      </w:r>
      <w:r>
        <w:rPr>
          <w:rFonts w:hint="eastAsia" w:ascii="宋体"/>
          <w:vertAlign w:val="superscript"/>
        </w:rPr>
        <w:t>3</w:t>
      </w:r>
      <w:r>
        <w:rPr>
          <w:rFonts w:hint="eastAsia" w:ascii="宋体"/>
        </w:rPr>
        <w:t>柴油罐），汽油、柴油卸油口均位于油罐区</w:t>
      </w:r>
      <w:r>
        <w:rPr>
          <w:rFonts w:hint="eastAsia" w:ascii="宋体"/>
          <w:lang w:val="en-US" w:eastAsia="zh-CN"/>
        </w:rPr>
        <w:t>西</w:t>
      </w:r>
      <w:r>
        <w:rPr>
          <w:rFonts w:hint="eastAsia" w:ascii="宋体"/>
        </w:rPr>
        <w:t>侧</w:t>
      </w:r>
      <w:r>
        <w:rPr>
          <w:rFonts w:hint="eastAsia" w:ascii="宋体"/>
          <w:lang w:eastAsia="zh-CN"/>
        </w:rPr>
        <w:t>，</w:t>
      </w:r>
      <w:r>
        <w:rPr>
          <w:rFonts w:hint="eastAsia" w:ascii="宋体"/>
        </w:rPr>
        <w:t>罐区共有通气管</w:t>
      </w:r>
      <w:r>
        <w:rPr>
          <w:rFonts w:hint="eastAsia" w:ascii="宋体"/>
          <w:lang w:val="en-US" w:eastAsia="zh-CN"/>
        </w:rPr>
        <w:t>3</w:t>
      </w:r>
      <w:r>
        <w:rPr>
          <w:rFonts w:hint="eastAsia" w:ascii="宋体"/>
        </w:rPr>
        <w:t>根；该站汽油设有卸油油气回收系统、加油油气回收系统；按《汽车加油加气加氢站技术标准》 GB50156-2021标准规定：V=</w:t>
      </w:r>
      <w:r>
        <w:rPr>
          <w:rFonts w:hint="eastAsia" w:ascii="宋体"/>
          <w:lang w:val="en-US" w:eastAsia="zh-CN"/>
        </w:rPr>
        <w:t>9</w:t>
      </w:r>
      <w:r>
        <w:rPr>
          <w:rFonts w:hint="eastAsia" w:ascii="宋体"/>
        </w:rPr>
        <w:t>0+</w:t>
      </w:r>
      <w:r>
        <w:rPr>
          <w:rFonts w:hint="eastAsia" w:ascii="宋体"/>
          <w:lang w:val="en-US" w:eastAsia="zh-CN"/>
        </w:rPr>
        <w:t>3</w:t>
      </w:r>
      <w:r>
        <w:rPr>
          <w:rFonts w:hint="eastAsia" w:ascii="宋体"/>
        </w:rPr>
        <w:t>0/2=</w:t>
      </w:r>
      <w:r>
        <w:rPr>
          <w:rFonts w:hint="eastAsia" w:ascii="宋体"/>
          <w:lang w:val="en-US" w:eastAsia="zh-CN"/>
        </w:rPr>
        <w:t>105</w:t>
      </w:r>
      <w:r>
        <w:rPr>
          <w:rFonts w:hint="eastAsia" w:ascii="宋体"/>
        </w:rPr>
        <w:t>m</w:t>
      </w:r>
      <w:r>
        <w:rPr>
          <w:rFonts w:hint="eastAsia" w:ascii="宋体"/>
          <w:vertAlign w:val="superscript"/>
        </w:rPr>
        <w:t>3</w:t>
      </w:r>
      <w:r>
        <w:rPr>
          <w:rFonts w:hint="eastAsia" w:ascii="宋体"/>
        </w:rPr>
        <w:t>，该站属</w:t>
      </w:r>
      <w:r>
        <w:rPr>
          <w:rFonts w:hint="eastAsia" w:ascii="宋体"/>
          <w:lang w:val="en-US" w:eastAsia="zh-CN"/>
        </w:rPr>
        <w:t>二</w:t>
      </w:r>
      <w:r>
        <w:rPr>
          <w:rFonts w:hint="eastAsia" w:ascii="宋体"/>
        </w:rPr>
        <w:t>级加油站。</w:t>
      </w:r>
    </w:p>
    <w:p w14:paraId="50F8E071">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60AA8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6C71CAC">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4FA3F994">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2D5DC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A5AF6E0">
            <w:pPr>
              <w:pStyle w:val="11"/>
              <w:widowControl w:val="0"/>
              <w:spacing w:line="360" w:lineRule="auto"/>
              <w:rPr>
                <w:rFonts w:hint="eastAsia" w:ascii="宋体" w:hAnsi="宋体"/>
                <w:b/>
                <w:bCs/>
              </w:rPr>
            </w:pPr>
          </w:p>
        </w:tc>
        <w:tc>
          <w:tcPr>
            <w:tcW w:w="1667" w:type="pct"/>
            <w:vAlign w:val="center"/>
          </w:tcPr>
          <w:p w14:paraId="5EBDB595">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2EEBF689">
            <w:pPr>
              <w:pStyle w:val="11"/>
              <w:widowControl w:val="0"/>
              <w:spacing w:line="360" w:lineRule="auto"/>
              <w:rPr>
                <w:rFonts w:hint="eastAsia" w:ascii="宋体" w:hAnsi="宋体"/>
                <w:b/>
                <w:bCs/>
              </w:rPr>
            </w:pPr>
            <w:r>
              <w:rPr>
                <w:rFonts w:ascii="宋体" w:hAnsi="宋体"/>
                <w:b/>
                <w:bCs/>
              </w:rPr>
              <w:t>单罐容积</w:t>
            </w:r>
          </w:p>
        </w:tc>
      </w:tr>
      <w:tr w14:paraId="062EC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1500C8E">
            <w:pPr>
              <w:pStyle w:val="11"/>
              <w:widowControl w:val="0"/>
              <w:spacing w:line="360" w:lineRule="auto"/>
              <w:rPr>
                <w:rFonts w:hint="eastAsia" w:ascii="宋体" w:hAnsi="宋体"/>
              </w:rPr>
            </w:pPr>
            <w:r>
              <w:rPr>
                <w:rFonts w:ascii="宋体" w:hAnsi="宋体"/>
              </w:rPr>
              <w:t>一级</w:t>
            </w:r>
          </w:p>
        </w:tc>
        <w:tc>
          <w:tcPr>
            <w:tcW w:w="1667" w:type="pct"/>
            <w:vAlign w:val="center"/>
          </w:tcPr>
          <w:p w14:paraId="76FE4AEC">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148D2770">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06567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AC95A26">
            <w:pPr>
              <w:pStyle w:val="11"/>
              <w:widowControl w:val="0"/>
              <w:spacing w:line="360" w:lineRule="auto"/>
              <w:rPr>
                <w:rFonts w:hint="eastAsia" w:ascii="宋体" w:hAnsi="宋体"/>
              </w:rPr>
            </w:pPr>
            <w:r>
              <w:rPr>
                <w:rFonts w:ascii="宋体" w:hAnsi="宋体"/>
              </w:rPr>
              <w:t>二级</w:t>
            </w:r>
          </w:p>
        </w:tc>
        <w:tc>
          <w:tcPr>
            <w:tcW w:w="1667" w:type="pct"/>
            <w:vAlign w:val="center"/>
          </w:tcPr>
          <w:p w14:paraId="29943C26">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36D43733">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127D1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F4413C5">
            <w:pPr>
              <w:pStyle w:val="11"/>
              <w:widowControl w:val="0"/>
              <w:spacing w:line="360" w:lineRule="auto"/>
              <w:rPr>
                <w:rFonts w:hint="eastAsia" w:ascii="宋体" w:hAnsi="宋体"/>
              </w:rPr>
            </w:pPr>
            <w:r>
              <w:rPr>
                <w:rFonts w:ascii="宋体" w:hAnsi="宋体"/>
              </w:rPr>
              <w:t>三级</w:t>
            </w:r>
          </w:p>
        </w:tc>
        <w:tc>
          <w:tcPr>
            <w:tcW w:w="1667" w:type="pct"/>
            <w:vAlign w:val="center"/>
          </w:tcPr>
          <w:p w14:paraId="31B73207">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5C06F8A1">
            <w:pPr>
              <w:pStyle w:val="11"/>
              <w:widowControl w:val="0"/>
              <w:spacing w:line="360" w:lineRule="auto"/>
              <w:rPr>
                <w:rFonts w:hint="eastAsia"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6465A47A">
      <w:pPr>
        <w:pStyle w:val="12"/>
        <w:widowControl w:val="0"/>
        <w:spacing w:line="360" w:lineRule="auto"/>
        <w:ind w:firstLine="436"/>
      </w:pPr>
      <w:r>
        <w:t>注：</w:t>
      </w:r>
      <w:r>
        <w:rPr>
          <w:rFonts w:hint="eastAsia"/>
        </w:rPr>
        <w:t>V为油罐总容积。</w:t>
      </w:r>
      <w:r>
        <w:t>柴油罐容积可折半计入油罐总容积。</w:t>
      </w:r>
    </w:p>
    <w:p w14:paraId="2A63CD3D">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14:textFill>
            <w14:solidFill>
              <w14:schemeClr w14:val="tx1"/>
            </w14:solidFill>
          </w14:textFill>
        </w:rPr>
        <w:t>1人。主要负责人和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51C56CB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color w:val="000000" w:themeColor="text1"/>
          <w:kern w:val="0"/>
          <w:sz w:val="28"/>
          <w:szCs w:val="20"/>
          <w14:textFill>
            <w14:solidFill>
              <w14:schemeClr w14:val="tx1"/>
            </w14:solidFill>
          </w14:textFill>
        </w:rPr>
        <w:t>加油站于20</w:t>
      </w:r>
      <w:r>
        <w:rPr>
          <w:rFonts w:hint="eastAsia" w:ascii="宋体"/>
          <w:color w:val="000000" w:themeColor="text1"/>
          <w:kern w:val="0"/>
          <w:sz w:val="28"/>
          <w:szCs w:val="20"/>
          <w:lang w:val="en-US" w:eastAsia="zh-CN"/>
          <w14:textFill>
            <w14:solidFill>
              <w14:schemeClr w14:val="tx1"/>
            </w14:solidFill>
          </w14:textFill>
        </w:rPr>
        <w:t>06</w:t>
      </w:r>
      <w:r>
        <w:rPr>
          <w:rFonts w:hint="eastAsia" w:ascii="宋体"/>
          <w:color w:val="000000" w:themeColor="text1"/>
          <w:kern w:val="0"/>
          <w:sz w:val="28"/>
          <w:szCs w:val="20"/>
          <w14:textFill>
            <w14:solidFill>
              <w14:schemeClr w14:val="tx1"/>
            </w14:solidFill>
          </w14:textFill>
        </w:rPr>
        <w:t>年</w:t>
      </w:r>
      <w:r>
        <w:rPr>
          <w:rFonts w:hint="eastAsia" w:ascii="宋体"/>
          <w:color w:val="000000" w:themeColor="text1"/>
          <w:kern w:val="0"/>
          <w:sz w:val="28"/>
          <w:szCs w:val="20"/>
          <w:lang w:val="en-US" w:eastAsia="zh-CN"/>
          <w14:textFill>
            <w14:solidFill>
              <w14:schemeClr w14:val="tx1"/>
            </w14:solidFill>
          </w14:textFill>
        </w:rPr>
        <w:t>07</w:t>
      </w:r>
      <w:r>
        <w:rPr>
          <w:rFonts w:hint="eastAsia" w:ascii="宋体"/>
          <w:color w:val="000000" w:themeColor="text1"/>
          <w:kern w:val="0"/>
          <w:sz w:val="28"/>
          <w:szCs w:val="20"/>
          <w14:textFill>
            <w14:solidFill>
              <w14:schemeClr w14:val="tx1"/>
            </w14:solidFill>
          </w14:textFill>
        </w:rPr>
        <w:t>月</w:t>
      </w:r>
      <w:r>
        <w:rPr>
          <w:rFonts w:hint="eastAsia" w:ascii="宋体"/>
          <w:color w:val="000000" w:themeColor="text1"/>
          <w:kern w:val="0"/>
          <w:sz w:val="28"/>
          <w:szCs w:val="20"/>
          <w:lang w:val="en-US" w:eastAsia="zh-CN"/>
          <w14:textFill>
            <w14:solidFill>
              <w14:schemeClr w14:val="tx1"/>
            </w14:solidFill>
          </w14:textFill>
        </w:rPr>
        <w:t>10</w:t>
      </w:r>
      <w:r>
        <w:rPr>
          <w:rFonts w:hint="eastAsia" w:ascii="宋体"/>
          <w:color w:val="000000" w:themeColor="text1"/>
          <w:kern w:val="0"/>
          <w:sz w:val="28"/>
          <w:szCs w:val="20"/>
          <w14:textFill>
            <w14:solidFill>
              <w14:schemeClr w14:val="tx1"/>
            </w14:solidFill>
          </w14:textFill>
        </w:rPr>
        <w:t>日取得了</w:t>
      </w:r>
      <w:r>
        <w:rPr>
          <w:rFonts w:hint="eastAsia" w:ascii="宋体"/>
          <w:color w:val="000000" w:themeColor="text1"/>
          <w:kern w:val="0"/>
          <w:sz w:val="28"/>
          <w:szCs w:val="20"/>
          <w:lang w:val="en-US" w:eastAsia="zh-CN"/>
          <w14:textFill>
            <w14:solidFill>
              <w14:schemeClr w14:val="tx1"/>
            </w14:solidFill>
          </w14:textFill>
        </w:rPr>
        <w:t>肥城市</w:t>
      </w:r>
      <w:r>
        <w:rPr>
          <w:rFonts w:hint="eastAsia" w:ascii="宋体"/>
          <w:color w:val="000000" w:themeColor="text1"/>
          <w:kern w:val="0"/>
          <w:sz w:val="28"/>
          <w:szCs w:val="20"/>
          <w14:textFill>
            <w14:solidFill>
              <w14:schemeClr w14:val="tx1"/>
            </w14:solidFill>
          </w14:textFill>
        </w:rPr>
        <w:t>公安消防</w:t>
      </w:r>
      <w:r>
        <w:rPr>
          <w:rFonts w:hint="eastAsia" w:ascii="宋体"/>
          <w:color w:val="000000" w:themeColor="text1"/>
          <w:kern w:val="0"/>
          <w:sz w:val="28"/>
          <w:szCs w:val="20"/>
          <w:lang w:val="en-US" w:eastAsia="zh-CN"/>
          <w14:textFill>
            <w14:solidFill>
              <w14:schemeClr w14:val="tx1"/>
            </w14:solidFill>
          </w14:textFill>
        </w:rPr>
        <w:t>大</w:t>
      </w:r>
      <w:r>
        <w:rPr>
          <w:rFonts w:hint="eastAsia" w:ascii="宋体"/>
          <w:color w:val="000000" w:themeColor="text1"/>
          <w:kern w:val="0"/>
          <w:sz w:val="28"/>
          <w:szCs w:val="20"/>
          <w14:textFill>
            <w14:solidFill>
              <w14:schemeClr w14:val="tx1"/>
            </w14:solidFill>
          </w14:textFill>
        </w:rPr>
        <w:t>队出具的</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关于对中石化肥城20座加油站消防安全检查的意见</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认定该加油站符合国家有关消防技术规范的规定，</w:t>
      </w:r>
      <w:r>
        <w:rPr>
          <w:rFonts w:hint="eastAsia" w:ascii="宋体" w:hAnsi="宋体"/>
          <w:color w:val="000000" w:themeColor="text1"/>
          <w:sz w:val="28"/>
          <w:szCs w:val="28"/>
          <w14:textFill>
            <w14:solidFill>
              <w14:schemeClr w14:val="tx1"/>
            </w14:solidFill>
          </w14:textFill>
        </w:rPr>
        <w:t>详见附件。</w:t>
      </w:r>
    </w:p>
    <w:p w14:paraId="36D39795">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公司于2009年06月15日签订了《加油站租赁合同》，租赁期限自2011年1月1日至2030年12月31日。详见附件。</w:t>
      </w:r>
    </w:p>
    <w:p w14:paraId="180B50DB">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加油站于2022年0</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日换发了《危险化学品经营许可证》，证书编号：鲁泰危化经[2022]0</w:t>
      </w:r>
      <w:r>
        <w:rPr>
          <w:rFonts w:hint="eastAsia" w:ascii="宋体" w:hAnsi="宋体"/>
          <w:color w:val="000000" w:themeColor="text1"/>
          <w:sz w:val="28"/>
          <w:szCs w:val="28"/>
          <w:lang w:val="en-US" w:eastAsia="zh-CN"/>
          <w14:textFill>
            <w14:solidFill>
              <w14:schemeClr w14:val="tx1"/>
            </w14:solidFill>
          </w14:textFill>
        </w:rPr>
        <w:t>40003</w:t>
      </w:r>
      <w:r>
        <w:rPr>
          <w:rFonts w:hint="eastAsia" w:ascii="宋体" w:hAnsi="宋体"/>
          <w:color w:val="000000" w:themeColor="text1"/>
          <w:sz w:val="28"/>
          <w:szCs w:val="28"/>
          <w14:textFill>
            <w14:solidFill>
              <w14:schemeClr w14:val="tx1"/>
            </w14:solidFill>
          </w14:textFill>
        </w:rPr>
        <w:t>号，证书有效期至2025年0</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日，证书见附件。</w:t>
      </w:r>
    </w:p>
    <w:p w14:paraId="0529A2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bookmarkStart w:id="18" w:name="_Hlk508440011"/>
      <w:r>
        <w:rPr>
          <w:rFonts w:hint="eastAsia" w:ascii="宋体" w:hAnsi="宋体"/>
          <w:color w:val="000000" w:themeColor="text1"/>
          <w:sz w:val="28"/>
          <w:szCs w:val="28"/>
          <w14:textFill>
            <w14:solidFill>
              <w14:schemeClr w14:val="tx1"/>
            </w14:solidFill>
          </w14:textFill>
        </w:rPr>
        <w:t>加油站于2021年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27</w:t>
      </w:r>
      <w:r>
        <w:rPr>
          <w:rFonts w:hint="eastAsia" w:ascii="宋体" w:hAnsi="宋体"/>
          <w:color w:val="000000" w:themeColor="text1"/>
          <w:sz w:val="28"/>
          <w:szCs w:val="28"/>
          <w14:textFill>
            <w14:solidFill>
              <w14:schemeClr w14:val="tx1"/>
            </w14:solidFill>
          </w14:textFill>
        </w:rPr>
        <w:t>日换发了《成品油零售经营批准证书》，证书编号：鲁油零售证书第37090</w:t>
      </w:r>
      <w:r>
        <w:rPr>
          <w:rFonts w:hint="eastAsia" w:ascii="宋体" w:hAnsi="宋体"/>
          <w:color w:val="000000" w:themeColor="text1"/>
          <w:sz w:val="28"/>
          <w:szCs w:val="28"/>
          <w:lang w:val="en-US" w:eastAsia="zh-CN"/>
          <w14:textFill>
            <w14:solidFill>
              <w14:schemeClr w14:val="tx1"/>
            </w14:solidFill>
          </w14:textFill>
        </w:rPr>
        <w:t>61004</w:t>
      </w:r>
      <w:r>
        <w:rPr>
          <w:rFonts w:hint="eastAsia" w:ascii="宋体" w:hAnsi="宋体"/>
          <w:color w:val="000000" w:themeColor="text1"/>
          <w:sz w:val="28"/>
          <w:szCs w:val="28"/>
          <w14:textFill>
            <w14:solidFill>
              <w14:schemeClr w14:val="tx1"/>
            </w14:solidFill>
          </w14:textFill>
        </w:rPr>
        <w:t>号，证书有效期至2026年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27</w:t>
      </w:r>
      <w:r>
        <w:rPr>
          <w:rFonts w:hint="eastAsia" w:ascii="宋体" w:hAnsi="宋体"/>
          <w:color w:val="000000" w:themeColor="text1"/>
          <w:sz w:val="28"/>
          <w:szCs w:val="28"/>
          <w14:textFill>
            <w14:solidFill>
              <w14:schemeClr w14:val="tx1"/>
            </w14:solidFill>
          </w14:textFill>
        </w:rPr>
        <w:t>日，证书见附件。</w:t>
      </w:r>
    </w:p>
    <w:bookmarkEnd w:id="18"/>
    <w:p w14:paraId="29583426">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该站编制了生产安全事故应急预案，于2024年10月</w:t>
      </w:r>
      <w:r>
        <w:rPr>
          <w:rFonts w:hint="eastAsia" w:ascii="宋体" w:hAnsi="宋体"/>
          <w:color w:val="000000" w:themeColor="text1"/>
          <w:sz w:val="28"/>
          <w:szCs w:val="28"/>
          <w:lang w:val="en-US" w:eastAsia="zh-CN"/>
          <w14:textFill>
            <w14:solidFill>
              <w14:schemeClr w14:val="tx1"/>
            </w14:solidFill>
          </w14:textFill>
        </w:rPr>
        <w:t>22</w:t>
      </w:r>
      <w:r>
        <w:rPr>
          <w:rFonts w:hint="eastAsia" w:ascii="宋体" w:hAnsi="宋体"/>
          <w:color w:val="000000" w:themeColor="text1"/>
          <w:sz w:val="28"/>
          <w:szCs w:val="28"/>
          <w14:textFill>
            <w14:solidFill>
              <w14:schemeClr w14:val="tx1"/>
            </w14:solidFill>
          </w14:textFill>
        </w:rPr>
        <w:t>日在</w:t>
      </w:r>
      <w:r>
        <w:rPr>
          <w:rFonts w:hint="eastAsia" w:ascii="宋体" w:hAnsi="宋体"/>
          <w:color w:val="000000" w:themeColor="text1"/>
          <w:sz w:val="28"/>
          <w:szCs w:val="28"/>
          <w:lang w:val="en-US" w:eastAsia="zh-CN"/>
          <w14:textFill>
            <w14:solidFill>
              <w14:schemeClr w14:val="tx1"/>
            </w14:solidFill>
          </w14:textFill>
        </w:rPr>
        <w:t>泰安</w:t>
      </w:r>
      <w:r>
        <w:rPr>
          <w:rFonts w:hint="eastAsia" w:ascii="宋体" w:hAnsi="宋体"/>
          <w:color w:val="000000" w:themeColor="text1"/>
          <w:sz w:val="28"/>
          <w:szCs w:val="28"/>
          <w14:textFill>
            <w14:solidFill>
              <w14:schemeClr w14:val="tx1"/>
            </w14:solidFill>
          </w14:textFill>
        </w:rPr>
        <w:t>市应急管理局进行了备案，备案编号为：370900-2024-0</w:t>
      </w:r>
      <w:r>
        <w:rPr>
          <w:rFonts w:hint="eastAsia" w:ascii="宋体" w:hAnsi="宋体"/>
          <w:color w:val="000000" w:themeColor="text1"/>
          <w:sz w:val="28"/>
          <w:szCs w:val="28"/>
          <w:lang w:val="en-US" w:eastAsia="zh-CN"/>
          <w14:textFill>
            <w14:solidFill>
              <w14:schemeClr w14:val="tx1"/>
            </w14:solidFill>
          </w14:textFill>
        </w:rPr>
        <w:t>143</w:t>
      </w:r>
      <w:r>
        <w:rPr>
          <w:rFonts w:hint="eastAsia" w:ascii="宋体" w:hAnsi="宋体"/>
          <w:color w:val="000000" w:themeColor="text1"/>
          <w:sz w:val="28"/>
          <w:szCs w:val="28"/>
          <w14:textFill>
            <w14:solidFill>
              <w14:schemeClr w14:val="tx1"/>
            </w14:solidFill>
          </w14:textFill>
        </w:rPr>
        <w:t>，详见附件。</w:t>
      </w:r>
    </w:p>
    <w:p w14:paraId="37D551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山东天科防雷工程有限公司对该站进行了相关防雷设施的检测，出具了合格的《雷电防护装置定期检测报告》，报告编号：（1122016001）[2024]TA</w:t>
      </w:r>
      <w:r>
        <w:rPr>
          <w:rFonts w:hint="eastAsia" w:ascii="宋体" w:hAnsi="宋体"/>
          <w:color w:val="000000" w:themeColor="text1"/>
          <w:sz w:val="28"/>
          <w:szCs w:val="28"/>
          <w:lang w:val="en-US" w:eastAsia="zh-CN"/>
          <w14:textFill>
            <w14:solidFill>
              <w14:schemeClr w14:val="tx1"/>
            </w14:solidFill>
          </w14:textFill>
        </w:rPr>
        <w:t>FC</w:t>
      </w:r>
      <w:r>
        <w:rPr>
          <w:rFonts w:hint="eastAsia"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lang w:val="en-US" w:eastAsia="zh-CN"/>
          <w14:textFill>
            <w14:solidFill>
              <w14:schemeClr w14:val="tx1"/>
            </w14:solidFill>
          </w14:textFill>
        </w:rPr>
        <w:t>278</w:t>
      </w:r>
      <w:r>
        <w:rPr>
          <w:rFonts w:hint="eastAsia" w:ascii="宋体" w:hAnsi="宋体"/>
          <w:color w:val="000000" w:themeColor="text1"/>
          <w:sz w:val="28"/>
          <w:szCs w:val="28"/>
          <w14:textFill>
            <w14:solidFill>
              <w14:schemeClr w14:val="tx1"/>
            </w14:solidFill>
          </w14:textFill>
        </w:rPr>
        <w:t>号，防雷类别：二类，结论为“雷电防护装置符合现行国家防雷规范标准要求”，有效期至2025年0</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日，检测报告见附件。</w:t>
      </w:r>
    </w:p>
    <w:p w14:paraId="0DB0D217">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公司在中国人民财产保险股份有限公司投保安全生产责任保险，保单号为PZIT202437010000000051，保险期限2024年06月23日至2025年06月22日，详见附件。</w:t>
      </w:r>
    </w:p>
    <w:p w14:paraId="537865F1">
      <w:pPr>
        <w:adjustRightInd w:val="0"/>
        <w:snapToGrid w:val="0"/>
        <w:spacing w:line="360" w:lineRule="auto"/>
        <w:ind w:firstLine="560" w:firstLineChars="200"/>
        <w:rPr>
          <w:rFonts w:hint="default" w:ascii="宋体" w:hAnsi="宋体" w:eastAsia="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济南本安科技发展有限公司于2024年</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月2</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日，对该站的可燃气体探测器进行了检验，</w:t>
      </w:r>
      <w:r>
        <w:rPr>
          <w:rFonts w:hint="eastAsia" w:ascii="宋体" w:hAnsi="宋体"/>
          <w:color w:val="000000" w:themeColor="text1"/>
          <w:sz w:val="28"/>
          <w:szCs w:val="28"/>
          <w:lang w:val="en-US" w:eastAsia="zh-CN"/>
          <w14:textFill>
            <w14:solidFill>
              <w14:schemeClr w14:val="tx1"/>
            </w14:solidFill>
          </w14:textFill>
        </w:rPr>
        <w:t>有效期至2025年06月27日，</w:t>
      </w:r>
      <w:r>
        <w:rPr>
          <w:rFonts w:hint="eastAsia" w:ascii="宋体" w:hAnsi="宋体"/>
          <w:color w:val="000000" w:themeColor="text1"/>
          <w:sz w:val="28"/>
          <w:szCs w:val="28"/>
          <w14:textFill>
            <w14:solidFill>
              <w14:schemeClr w14:val="tx1"/>
            </w14:solidFill>
          </w14:textFill>
        </w:rPr>
        <w:t>测试结果为合格，详见报告。</w:t>
      </w:r>
    </w:p>
    <w:p w14:paraId="4CEBA11F">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该站建立健全了安全生产责任制、安全生产规章制度和安全操作规程，执行情况较好。</w:t>
      </w:r>
    </w:p>
    <w:p w14:paraId="0691028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sz w:val="28"/>
          <w:szCs w:val="28"/>
        </w:rPr>
        <w:t>该站各项安全管理制度基本健全，有生产经营单位生产事故应急预案，</w:t>
      </w:r>
      <w:r>
        <w:rPr>
          <w:rFonts w:hint="eastAsia" w:ascii="宋体" w:hAnsi="宋体"/>
          <w:color w:val="000000" w:themeColor="text1"/>
          <w:sz w:val="28"/>
          <w:szCs w:val="28"/>
          <w14:textFill>
            <w14:solidFill>
              <w14:schemeClr w14:val="tx1"/>
            </w14:solidFill>
          </w14:textFill>
        </w:rPr>
        <w:t>并定期进行应急救援演练。该加油站消防器材配备齐全，加油站配备了35kg推车式干粉灭火器</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具，5kg手提式干粉灭火器</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具，CO</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灭火器</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具，灭火毯</w:t>
      </w: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块，消防锨4把，消防桶2个，消防沙池2m</w:t>
      </w:r>
      <w:r>
        <w:rPr>
          <w:rFonts w:hint="eastAsia" w:ascii="宋体" w:hAnsi="宋体"/>
          <w:color w:val="000000" w:themeColor="text1"/>
          <w:sz w:val="28"/>
          <w:szCs w:val="28"/>
          <w:vertAlign w:val="super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w:t>
      </w:r>
    </w:p>
    <w:p w14:paraId="041B7800">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该加油站按功能分区布置，有油罐区、加油区、站房，布置较合理。</w:t>
      </w:r>
    </w:p>
    <w:p w14:paraId="2CD741E3">
      <w:pPr>
        <w:adjustRightInd w:val="0"/>
        <w:snapToGrid w:val="0"/>
        <w:spacing w:line="360" w:lineRule="auto"/>
        <w:ind w:firstLine="560" w:firstLineChars="200"/>
        <w:rPr>
          <w:rFonts w:ascii="宋体"/>
        </w:rPr>
      </w:pPr>
      <w:r>
        <w:rPr>
          <w:rFonts w:hint="eastAsia" w:ascii="宋体" w:hAnsi="宋体"/>
          <w:sz w:val="28"/>
          <w:szCs w:val="28"/>
        </w:rPr>
        <w:t>站房地上一层（砖混），罩棚为钢架结构。该站基本情况见下表2.1-2</w:t>
      </w:r>
      <w:r>
        <w:rPr>
          <w:rFonts w:ascii="宋体"/>
        </w:rPr>
        <w:t>。</w:t>
      </w:r>
      <w:r>
        <w:rPr>
          <w:rFonts w:hint="eastAsia" w:ascii="宋体"/>
        </w:rPr>
        <w:t xml:space="preserve">                                                                                                                                                                                                                                                                                                                                                                                                                                                                                                                                                                                                                                                                                                                                                                                                                                                                                                                                                                                                                                                                                                                                                                                                                                                                                                                                                                                                                                                                                                                                                                                                                                                                                                                                                                                                                                                                                                                                                                                                                                                                                                                                                                                                                                                                                                                                                                                                                                                                                                                                                                                                                                                                                                                                                                                                                                                                                                                                                                                                                                                                                                                                                                                                                                                                                                                                                                  </w:t>
      </w:r>
    </w:p>
    <w:p w14:paraId="5907698B">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437"/>
        <w:gridCol w:w="1198"/>
        <w:gridCol w:w="89"/>
        <w:gridCol w:w="1302"/>
      </w:tblGrid>
      <w:tr w14:paraId="274B54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C68EFA9">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30BEEB08">
            <w:pPr>
              <w:pStyle w:val="11"/>
              <w:widowControl w:val="0"/>
              <w:spacing w:line="360" w:lineRule="auto"/>
              <w:rPr>
                <w:rFonts w:hint="eastAsia" w:ascii="宋体" w:hAnsi="宋体" w:cs="宋体"/>
              </w:rPr>
            </w:pPr>
            <w:r>
              <w:rPr>
                <w:rFonts w:hint="eastAsia" w:ascii="宋体" w:hAnsi="宋体" w:cs="宋体"/>
              </w:rPr>
              <w:t>中国石化山东泰山石油股份有限公司</w:t>
            </w:r>
            <w:r>
              <w:rPr>
                <w:rFonts w:hint="eastAsia" w:ascii="宋体" w:hAnsi="宋体" w:cs="宋体"/>
                <w:lang w:val="en-US" w:eastAsia="zh-CN"/>
              </w:rPr>
              <w:t>肥城第四</w:t>
            </w:r>
            <w:r>
              <w:rPr>
                <w:rFonts w:hint="eastAsia" w:ascii="宋体" w:hAnsi="宋体" w:cs="宋体"/>
              </w:rPr>
              <w:t>加油站</w:t>
            </w:r>
          </w:p>
        </w:tc>
      </w:tr>
      <w:tr w14:paraId="370D8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FE4F8EE">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5E2E7363">
            <w:pPr>
              <w:pStyle w:val="11"/>
              <w:widowControl w:val="0"/>
              <w:spacing w:line="360" w:lineRule="auto"/>
              <w:rPr>
                <w:rFonts w:hint="eastAsia" w:ascii="宋体" w:hAnsi="宋体" w:cs="宋体"/>
              </w:rPr>
            </w:pPr>
            <w:r>
              <w:rPr>
                <w:rFonts w:hint="eastAsia" w:ascii="宋体" w:hAnsi="宋体" w:cs="宋体"/>
                <w:lang w:eastAsia="zh-CN"/>
              </w:rPr>
              <w:t>山东省肥城市</w:t>
            </w:r>
            <w:r>
              <w:rPr>
                <w:rFonts w:hint="eastAsia" w:ascii="宋体" w:hAnsi="宋体" w:cs="宋体"/>
                <w:lang w:val="en-US" w:eastAsia="zh-CN"/>
              </w:rPr>
              <w:t>石横镇南高余村</w:t>
            </w:r>
            <w:r>
              <w:rPr>
                <w:rFonts w:hint="eastAsia" w:ascii="宋体" w:hAnsi="宋体" w:cs="宋体"/>
                <w:lang w:eastAsia="zh-CN"/>
              </w:rPr>
              <w:t xml:space="preserve"> </w:t>
            </w:r>
          </w:p>
        </w:tc>
      </w:tr>
      <w:tr w14:paraId="342B3B70">
        <w:tblPrEx>
          <w:tblCellMar>
            <w:top w:w="57" w:type="dxa"/>
            <w:left w:w="108" w:type="dxa"/>
            <w:bottom w:w="57" w:type="dxa"/>
            <w:right w:w="108" w:type="dxa"/>
          </w:tblCellMar>
        </w:tblPrEx>
        <w:trPr>
          <w:trHeight w:val="454" w:hRule="atLeast"/>
          <w:jc w:val="center"/>
        </w:trPr>
        <w:tc>
          <w:tcPr>
            <w:tcW w:w="769" w:type="pct"/>
            <w:vAlign w:val="center"/>
          </w:tcPr>
          <w:p w14:paraId="1E174608">
            <w:pPr>
              <w:pStyle w:val="11"/>
              <w:widowControl w:val="0"/>
              <w:spacing w:line="360" w:lineRule="auto"/>
              <w:rPr>
                <w:rFonts w:hint="eastAsia" w:ascii="宋体" w:hAnsi="宋体" w:cs="宋体"/>
              </w:rPr>
            </w:pPr>
            <w:r>
              <w:rPr>
                <w:rFonts w:hint="eastAsia" w:ascii="宋体" w:hAnsi="宋体" w:cs="宋体"/>
              </w:rPr>
              <w:t>电话</w:t>
            </w:r>
          </w:p>
        </w:tc>
        <w:tc>
          <w:tcPr>
            <w:tcW w:w="1287" w:type="pct"/>
            <w:gridSpan w:val="2"/>
            <w:vAlign w:val="center"/>
          </w:tcPr>
          <w:p w14:paraId="7DE66264">
            <w:pPr>
              <w:pStyle w:val="11"/>
              <w:widowControl w:val="0"/>
              <w:spacing w:line="360" w:lineRule="auto"/>
              <w:rPr>
                <w:rFonts w:hint="default" w:ascii="宋体" w:hAnsi="宋体" w:eastAsia="宋体" w:cs="宋体"/>
                <w:lang w:val="en-US" w:eastAsia="zh-CN"/>
              </w:rPr>
            </w:pPr>
            <w:r>
              <w:rPr>
                <w:rFonts w:hint="eastAsia" w:ascii="宋体" w:hAnsi="宋体" w:cs="宋体"/>
                <w:lang w:val="en-US" w:eastAsia="zh-CN"/>
              </w:rPr>
              <w:t>13954830878</w:t>
            </w:r>
          </w:p>
        </w:tc>
        <w:tc>
          <w:tcPr>
            <w:tcW w:w="853" w:type="pct"/>
            <w:gridSpan w:val="3"/>
            <w:vAlign w:val="center"/>
          </w:tcPr>
          <w:p w14:paraId="0A598D18">
            <w:pPr>
              <w:pStyle w:val="11"/>
              <w:widowControl w:val="0"/>
              <w:spacing w:line="360" w:lineRule="auto"/>
              <w:rPr>
                <w:rFonts w:hint="eastAsia" w:ascii="宋体" w:hAnsi="宋体" w:cs="宋体"/>
              </w:rPr>
            </w:pPr>
            <w:r>
              <w:rPr>
                <w:rFonts w:hint="eastAsia" w:ascii="宋体" w:hAnsi="宋体" w:cs="宋体"/>
              </w:rPr>
              <w:t>传 真</w:t>
            </w:r>
          </w:p>
        </w:tc>
        <w:tc>
          <w:tcPr>
            <w:tcW w:w="746" w:type="pct"/>
            <w:vAlign w:val="center"/>
          </w:tcPr>
          <w:p w14:paraId="28868173">
            <w:pPr>
              <w:pStyle w:val="11"/>
              <w:widowControl w:val="0"/>
              <w:spacing w:line="360" w:lineRule="auto"/>
              <w:rPr>
                <w:rFonts w:hint="eastAsia" w:ascii="宋体" w:hAnsi="宋体" w:cs="宋体"/>
              </w:rPr>
            </w:pPr>
            <w:r>
              <w:rPr>
                <w:rFonts w:hint="eastAsia" w:ascii="宋体" w:hAnsi="宋体" w:cs="宋体"/>
              </w:rPr>
              <w:t>—</w:t>
            </w:r>
          </w:p>
        </w:tc>
        <w:tc>
          <w:tcPr>
            <w:tcW w:w="668" w:type="pct"/>
            <w:gridSpan w:val="2"/>
            <w:vAlign w:val="center"/>
          </w:tcPr>
          <w:p w14:paraId="4B20E74D">
            <w:pPr>
              <w:pStyle w:val="11"/>
              <w:widowControl w:val="0"/>
              <w:spacing w:line="360" w:lineRule="auto"/>
              <w:rPr>
                <w:rFonts w:hint="eastAsia" w:ascii="宋体" w:hAnsi="宋体" w:cs="宋体"/>
              </w:rPr>
            </w:pPr>
            <w:r>
              <w:rPr>
                <w:rFonts w:hint="eastAsia" w:ascii="宋体" w:hAnsi="宋体" w:cs="宋体"/>
              </w:rPr>
              <w:t>邮政编码</w:t>
            </w:r>
          </w:p>
        </w:tc>
        <w:tc>
          <w:tcPr>
            <w:tcW w:w="675" w:type="pct"/>
            <w:vAlign w:val="center"/>
          </w:tcPr>
          <w:p w14:paraId="48565C99">
            <w:pPr>
              <w:pStyle w:val="11"/>
              <w:widowControl w:val="0"/>
              <w:spacing w:line="360" w:lineRule="auto"/>
              <w:rPr>
                <w:rFonts w:hint="eastAsia" w:ascii="宋体" w:hAnsi="宋体" w:cs="宋体"/>
              </w:rPr>
            </w:pPr>
            <w:r>
              <w:rPr>
                <w:rFonts w:hint="eastAsia" w:ascii="宋体" w:hAnsi="宋体" w:cs="宋体"/>
              </w:rPr>
              <w:t>271</w:t>
            </w:r>
            <w:r>
              <w:rPr>
                <w:rFonts w:hint="eastAsia" w:ascii="宋体" w:hAnsi="宋体" w:cs="宋体"/>
                <w:lang w:val="en-US" w:eastAsia="zh-CN"/>
              </w:rPr>
              <w:t>6</w:t>
            </w:r>
            <w:r>
              <w:rPr>
                <w:rFonts w:hint="eastAsia" w:ascii="宋体" w:hAnsi="宋体" w:cs="宋体"/>
              </w:rPr>
              <w:t>00</w:t>
            </w:r>
          </w:p>
        </w:tc>
      </w:tr>
      <w:tr w14:paraId="6E1B2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79941A11">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41B8EAF9">
            <w:pPr>
              <w:pStyle w:val="11"/>
              <w:widowControl w:val="0"/>
              <w:spacing w:line="360" w:lineRule="auto"/>
              <w:rPr>
                <w:rFonts w:hint="eastAsia" w:ascii="宋体" w:hAnsi="宋体" w:cs="宋体"/>
              </w:rPr>
            </w:pPr>
            <w:r>
              <w:rPr>
                <w:rFonts w:hint="eastAsia" w:ascii="宋体" w:hAnsi="宋体" w:cs="宋体"/>
              </w:rPr>
              <w:t>汽油、乙醇汽油、柴油</w:t>
            </w:r>
          </w:p>
        </w:tc>
      </w:tr>
      <w:tr w14:paraId="16A0D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203C25B">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0543D722">
            <w:pPr>
              <w:pStyle w:val="11"/>
              <w:widowControl w:val="0"/>
              <w:spacing w:line="360" w:lineRule="auto"/>
              <w:rPr>
                <w:rFonts w:hint="eastAsia" w:ascii="宋体" w:hAnsi="宋体" w:cs="宋体"/>
              </w:rPr>
            </w:pPr>
            <w:r>
              <w:rPr>
                <w:rFonts w:hint="eastAsia" w:ascii="宋体" w:hAnsi="宋体" w:cs="宋体"/>
                <w:lang w:val="en-US" w:eastAsia="zh-CN"/>
              </w:rPr>
              <w:t>肥城</w:t>
            </w:r>
            <w:r>
              <w:rPr>
                <w:rFonts w:hint="eastAsia" w:ascii="宋体" w:hAnsi="宋体" w:cs="宋体"/>
              </w:rPr>
              <w:t>市行政审批服务局</w:t>
            </w:r>
          </w:p>
        </w:tc>
      </w:tr>
      <w:tr w14:paraId="1B30C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473D3D2">
            <w:pPr>
              <w:pStyle w:val="11"/>
              <w:widowControl w:val="0"/>
              <w:spacing w:line="360" w:lineRule="auto"/>
              <w:rPr>
                <w:rFonts w:hint="eastAsia" w:ascii="宋体" w:hAnsi="宋体" w:cs="宋体"/>
              </w:rPr>
            </w:pPr>
            <w:r>
              <w:rPr>
                <w:rFonts w:hint="eastAsia" w:ascii="宋体" w:hAnsi="宋体" w:cs="宋体"/>
              </w:rPr>
              <w:t>法定代表人</w:t>
            </w:r>
          </w:p>
        </w:tc>
        <w:tc>
          <w:tcPr>
            <w:tcW w:w="2042" w:type="pct"/>
            <w:gridSpan w:val="4"/>
            <w:vAlign w:val="center"/>
          </w:tcPr>
          <w:p w14:paraId="5A91E81E">
            <w:pPr>
              <w:pStyle w:val="11"/>
              <w:widowControl w:val="0"/>
              <w:spacing w:line="360" w:lineRule="auto"/>
              <w:rPr>
                <w:rFonts w:hint="eastAsia" w:ascii="宋体" w:hAnsi="宋体" w:cs="宋体"/>
              </w:rPr>
            </w:pPr>
            <w:r>
              <w:rPr>
                <w:rFonts w:hint="eastAsia" w:ascii="宋体" w:hAnsi="宋体" w:cs="宋体"/>
                <w:color w:val="000000" w:themeColor="text1"/>
                <w14:textFill>
                  <w14:solidFill>
                    <w14:schemeClr w14:val="tx1"/>
                  </w14:solidFill>
                </w14:textFill>
              </w:rPr>
              <w:t>王明昌</w:t>
            </w:r>
          </w:p>
        </w:tc>
        <w:tc>
          <w:tcPr>
            <w:tcW w:w="844" w:type="pct"/>
            <w:gridSpan w:val="2"/>
            <w:vAlign w:val="center"/>
          </w:tcPr>
          <w:p w14:paraId="2A82B605">
            <w:pPr>
              <w:pStyle w:val="11"/>
              <w:widowControl w:val="0"/>
              <w:spacing w:line="360" w:lineRule="auto"/>
              <w:rPr>
                <w:rFonts w:hint="eastAsia" w:ascii="宋体" w:hAnsi="宋体" w:cs="宋体"/>
              </w:rPr>
            </w:pPr>
            <w:r>
              <w:rPr>
                <w:rFonts w:hint="eastAsia" w:ascii="宋体" w:hAnsi="宋体" w:cs="宋体"/>
              </w:rPr>
              <w:t>站长</w:t>
            </w:r>
          </w:p>
        </w:tc>
        <w:tc>
          <w:tcPr>
            <w:tcW w:w="1344" w:type="pct"/>
            <w:gridSpan w:val="3"/>
            <w:vAlign w:val="center"/>
          </w:tcPr>
          <w:p w14:paraId="738D9F9A">
            <w:pPr>
              <w:pStyle w:val="11"/>
              <w:widowControl w:val="0"/>
              <w:spacing w:line="360" w:lineRule="auto"/>
              <w:rPr>
                <w:rFonts w:hint="default" w:ascii="宋体" w:hAnsi="宋体" w:cs="宋体"/>
                <w:lang w:val="en-US"/>
              </w:rPr>
            </w:pPr>
            <w:r>
              <w:rPr>
                <w:rFonts w:hint="eastAsia" w:ascii="宋体" w:hAnsi="宋体" w:cs="宋体"/>
                <w:lang w:val="en-US" w:eastAsia="zh-CN"/>
              </w:rPr>
              <w:t>武文俊</w:t>
            </w:r>
          </w:p>
        </w:tc>
      </w:tr>
      <w:tr w14:paraId="506DF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8BE00F4">
            <w:pPr>
              <w:pStyle w:val="11"/>
              <w:widowControl w:val="0"/>
              <w:spacing w:line="360" w:lineRule="auto"/>
              <w:rPr>
                <w:rFonts w:hint="eastAsia" w:ascii="宋体" w:hAnsi="宋体" w:cs="宋体"/>
              </w:rPr>
            </w:pPr>
            <w:r>
              <w:rPr>
                <w:rFonts w:hint="eastAsia" w:ascii="宋体" w:hAnsi="宋体" w:cs="宋体"/>
              </w:rPr>
              <w:t>职工人数</w:t>
            </w:r>
          </w:p>
        </w:tc>
        <w:tc>
          <w:tcPr>
            <w:tcW w:w="770" w:type="pct"/>
            <w:vAlign w:val="center"/>
          </w:tcPr>
          <w:p w14:paraId="6C3760A9">
            <w:pPr>
              <w:pStyle w:val="11"/>
              <w:widowControl w:val="0"/>
              <w:spacing w:line="360" w:lineRule="auto"/>
              <w:rPr>
                <w:rFonts w:hint="eastAsia" w:ascii="宋体" w:hAnsi="宋体" w:eastAsia="宋体" w:cs="宋体"/>
                <w:lang w:val="en-US" w:eastAsia="zh-CN"/>
              </w:rPr>
            </w:pPr>
            <w:r>
              <w:rPr>
                <w:rFonts w:hint="eastAsia" w:ascii="宋体" w:hAnsi="宋体" w:cs="宋体"/>
                <w:lang w:val="en-US" w:eastAsia="zh-CN"/>
              </w:rPr>
              <w:t>5</w:t>
            </w:r>
          </w:p>
        </w:tc>
        <w:tc>
          <w:tcPr>
            <w:tcW w:w="1272" w:type="pct"/>
            <w:gridSpan w:val="3"/>
            <w:vAlign w:val="center"/>
          </w:tcPr>
          <w:p w14:paraId="2384334D">
            <w:pPr>
              <w:pStyle w:val="11"/>
              <w:widowControl w:val="0"/>
              <w:spacing w:line="360" w:lineRule="auto"/>
              <w:rPr>
                <w:rFonts w:hint="eastAsia" w:ascii="宋体" w:hAnsi="宋体" w:cs="宋体"/>
              </w:rPr>
            </w:pPr>
            <w:r>
              <w:rPr>
                <w:rFonts w:hint="eastAsia" w:ascii="宋体" w:hAnsi="宋体" w:cs="宋体"/>
              </w:rPr>
              <w:t>站长</w:t>
            </w:r>
          </w:p>
        </w:tc>
        <w:tc>
          <w:tcPr>
            <w:tcW w:w="844" w:type="pct"/>
            <w:gridSpan w:val="2"/>
            <w:vAlign w:val="center"/>
          </w:tcPr>
          <w:p w14:paraId="21B0C6D9">
            <w:pPr>
              <w:pStyle w:val="11"/>
              <w:widowControl w:val="0"/>
              <w:spacing w:line="360" w:lineRule="auto"/>
              <w:rPr>
                <w:rFonts w:hint="eastAsia" w:ascii="宋体" w:hAnsi="宋体" w:cs="宋体"/>
              </w:rPr>
            </w:pPr>
            <w:r>
              <w:rPr>
                <w:rFonts w:hint="eastAsia" w:ascii="宋体" w:hAnsi="宋体" w:cs="宋体"/>
              </w:rPr>
              <w:t>1</w:t>
            </w:r>
          </w:p>
        </w:tc>
        <w:tc>
          <w:tcPr>
            <w:tcW w:w="668" w:type="pct"/>
            <w:gridSpan w:val="2"/>
            <w:vAlign w:val="center"/>
          </w:tcPr>
          <w:p w14:paraId="15C93D50">
            <w:pPr>
              <w:pStyle w:val="11"/>
              <w:widowControl w:val="0"/>
              <w:spacing w:line="360" w:lineRule="auto"/>
              <w:rPr>
                <w:rFonts w:hint="eastAsia" w:ascii="宋体" w:hAnsi="宋体" w:cs="宋体"/>
              </w:rPr>
            </w:pPr>
            <w:r>
              <w:rPr>
                <w:rFonts w:hint="eastAsia" w:ascii="宋体" w:hAnsi="宋体" w:cs="宋体"/>
              </w:rPr>
              <w:t>安全员</w:t>
            </w:r>
          </w:p>
        </w:tc>
        <w:tc>
          <w:tcPr>
            <w:tcW w:w="675" w:type="pct"/>
            <w:vAlign w:val="center"/>
          </w:tcPr>
          <w:p w14:paraId="6441EEAB">
            <w:pPr>
              <w:pStyle w:val="11"/>
              <w:widowControl w:val="0"/>
              <w:spacing w:line="360" w:lineRule="auto"/>
              <w:rPr>
                <w:rFonts w:hint="eastAsia" w:ascii="宋体" w:hAnsi="宋体" w:cs="宋体"/>
              </w:rPr>
            </w:pPr>
            <w:r>
              <w:rPr>
                <w:rFonts w:hint="eastAsia" w:ascii="宋体" w:hAnsi="宋体" w:cs="宋体"/>
              </w:rPr>
              <w:t>1</w:t>
            </w:r>
          </w:p>
        </w:tc>
      </w:tr>
      <w:tr w14:paraId="308565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24A9E165">
            <w:pPr>
              <w:pStyle w:val="11"/>
              <w:widowControl w:val="0"/>
              <w:spacing w:line="360" w:lineRule="auto"/>
              <w:rPr>
                <w:rFonts w:hint="eastAsia" w:ascii="宋体" w:hAnsi="宋体" w:cs="宋体"/>
                <w:bCs/>
              </w:rPr>
            </w:pPr>
            <w:r>
              <w:rPr>
                <w:rFonts w:hint="eastAsia" w:ascii="宋体" w:hAnsi="宋体" w:cs="宋体"/>
                <w:bCs/>
              </w:rPr>
              <w:t>经营场所</w:t>
            </w:r>
          </w:p>
        </w:tc>
        <w:tc>
          <w:tcPr>
            <w:tcW w:w="770" w:type="pct"/>
            <w:vAlign w:val="center"/>
          </w:tcPr>
          <w:p w14:paraId="2438A47A">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2C0AAC6C">
            <w:pPr>
              <w:pStyle w:val="11"/>
              <w:widowControl w:val="0"/>
              <w:spacing w:line="360" w:lineRule="auto"/>
              <w:rPr>
                <w:rFonts w:hint="eastAsia" w:ascii="宋体" w:hAnsi="宋体" w:cs="宋体"/>
                <w:bCs/>
              </w:rPr>
            </w:pPr>
            <w:r>
              <w:rPr>
                <w:rFonts w:hint="eastAsia" w:ascii="宋体" w:hAnsi="宋体" w:cs="宋体"/>
                <w:bCs/>
                <w:color w:val="000000" w:themeColor="text1"/>
                <w14:textFill>
                  <w14:solidFill>
                    <w14:schemeClr w14:val="tx1"/>
                  </w14:solidFill>
                </w14:textFill>
              </w:rPr>
              <w:t>自有</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租赁</w:t>
            </w:r>
            <w:r>
              <w:rPr>
                <w:rFonts w:hint="eastAsia" w:ascii="Segoe UI Symbol" w:hAnsi="Segoe UI Symbol" w:cs="Segoe UI Symbol"/>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承包□</w:t>
            </w:r>
          </w:p>
        </w:tc>
      </w:tr>
      <w:tr w14:paraId="700A80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88F1248">
            <w:pPr>
              <w:pStyle w:val="11"/>
              <w:widowControl w:val="0"/>
              <w:spacing w:line="360" w:lineRule="auto"/>
              <w:rPr>
                <w:rFonts w:hint="eastAsia" w:ascii="宋体" w:hAnsi="宋体" w:cs="宋体"/>
                <w:bCs/>
              </w:rPr>
            </w:pPr>
          </w:p>
        </w:tc>
        <w:tc>
          <w:tcPr>
            <w:tcW w:w="770" w:type="pct"/>
            <w:vAlign w:val="center"/>
          </w:tcPr>
          <w:p w14:paraId="73BD180A">
            <w:pPr>
              <w:pStyle w:val="11"/>
              <w:widowControl w:val="0"/>
              <w:spacing w:line="360" w:lineRule="auto"/>
              <w:rPr>
                <w:rFonts w:hint="eastAsia" w:ascii="宋体" w:hAnsi="宋体" w:cs="宋体"/>
                <w:bCs/>
              </w:rPr>
            </w:pPr>
            <w:r>
              <w:rPr>
                <w:rFonts w:hint="eastAsia" w:ascii="宋体" w:hAnsi="宋体" w:cs="宋体"/>
                <w:bCs/>
              </w:rPr>
              <w:t>站房面积</w:t>
            </w:r>
          </w:p>
        </w:tc>
        <w:tc>
          <w:tcPr>
            <w:tcW w:w="586" w:type="pct"/>
            <w:gridSpan w:val="2"/>
            <w:vAlign w:val="center"/>
          </w:tcPr>
          <w:p w14:paraId="38502734">
            <w:pPr>
              <w:pStyle w:val="11"/>
              <w:widowControl w:val="0"/>
              <w:spacing w:line="360" w:lineRule="auto"/>
              <w:rPr>
                <w:rFonts w:hint="eastAsia" w:ascii="宋体" w:hAnsi="宋体" w:cs="宋体"/>
              </w:rPr>
            </w:pPr>
            <w:r>
              <w:rPr>
                <w:rFonts w:hint="eastAsia" w:ascii="宋体" w:hAnsi="宋体" w:cs="宋体"/>
                <w:bCs/>
                <w:lang w:val="en-US" w:eastAsia="zh-CN"/>
              </w:rPr>
              <w:t>138.6</w:t>
            </w:r>
            <w:r>
              <w:rPr>
                <w:rFonts w:hint="eastAsia" w:ascii="宋体" w:hAnsi="宋体" w:cs="宋体"/>
                <w:bCs/>
              </w:rPr>
              <w:t>m</w:t>
            </w:r>
            <w:r>
              <w:rPr>
                <w:rFonts w:hint="eastAsia" w:ascii="宋体" w:hAnsi="宋体" w:cs="宋体"/>
                <w:bCs/>
                <w:vertAlign w:val="superscript"/>
              </w:rPr>
              <w:t>2</w:t>
            </w:r>
          </w:p>
        </w:tc>
        <w:tc>
          <w:tcPr>
            <w:tcW w:w="685" w:type="pct"/>
            <w:vAlign w:val="center"/>
          </w:tcPr>
          <w:p w14:paraId="75FCBB32">
            <w:pPr>
              <w:pStyle w:val="11"/>
              <w:widowControl w:val="0"/>
              <w:spacing w:line="360" w:lineRule="auto"/>
              <w:rPr>
                <w:rFonts w:hint="eastAsia" w:ascii="宋体" w:hAnsi="宋体" w:cs="宋体"/>
              </w:rPr>
            </w:pPr>
            <w:r>
              <w:rPr>
                <w:rFonts w:hint="eastAsia" w:ascii="宋体" w:hAnsi="宋体" w:cs="宋体"/>
              </w:rPr>
              <w:t>罩棚面积</w:t>
            </w:r>
          </w:p>
        </w:tc>
        <w:tc>
          <w:tcPr>
            <w:tcW w:w="844" w:type="pct"/>
            <w:gridSpan w:val="2"/>
            <w:vAlign w:val="center"/>
          </w:tcPr>
          <w:p w14:paraId="7BA66E0A">
            <w:pPr>
              <w:pStyle w:val="11"/>
              <w:widowControl w:val="0"/>
              <w:spacing w:line="360" w:lineRule="auto"/>
              <w:rPr>
                <w:rFonts w:hint="eastAsia" w:ascii="宋体" w:hAnsi="宋体" w:cs="宋体"/>
              </w:rPr>
            </w:pPr>
            <w:r>
              <w:rPr>
                <w:rFonts w:hint="eastAsia" w:ascii="宋体" w:hAnsi="宋体" w:cs="宋体"/>
                <w:bCs/>
                <w:lang w:val="en-US" w:eastAsia="zh-CN"/>
              </w:rPr>
              <w:t>214.4</w:t>
            </w:r>
            <w:r>
              <w:rPr>
                <w:rFonts w:hint="eastAsia" w:ascii="宋体" w:hAnsi="宋体" w:cs="宋体"/>
                <w:bCs/>
              </w:rPr>
              <w:t>m</w:t>
            </w:r>
            <w:r>
              <w:rPr>
                <w:rFonts w:hint="eastAsia" w:ascii="宋体" w:hAnsi="宋体" w:cs="宋体"/>
                <w:bCs/>
                <w:vertAlign w:val="superscript"/>
              </w:rPr>
              <w:t>2</w:t>
            </w:r>
          </w:p>
        </w:tc>
        <w:tc>
          <w:tcPr>
            <w:tcW w:w="668" w:type="pct"/>
            <w:gridSpan w:val="2"/>
            <w:vAlign w:val="center"/>
          </w:tcPr>
          <w:p w14:paraId="3AD85FA8">
            <w:pPr>
              <w:pStyle w:val="11"/>
              <w:widowControl w:val="0"/>
              <w:spacing w:line="360" w:lineRule="auto"/>
              <w:rPr>
                <w:rFonts w:hint="eastAsia" w:ascii="宋体" w:hAnsi="宋体" w:cs="宋体"/>
              </w:rPr>
            </w:pPr>
            <w:r>
              <w:rPr>
                <w:rFonts w:hint="eastAsia" w:ascii="宋体" w:hAnsi="宋体" w:cs="宋体"/>
              </w:rPr>
              <w:t>罩棚高度</w:t>
            </w:r>
          </w:p>
        </w:tc>
        <w:tc>
          <w:tcPr>
            <w:tcW w:w="675" w:type="pct"/>
            <w:vAlign w:val="center"/>
          </w:tcPr>
          <w:p w14:paraId="19DA8AC6">
            <w:pPr>
              <w:pStyle w:val="11"/>
              <w:widowControl w:val="0"/>
              <w:spacing w:line="360" w:lineRule="auto"/>
              <w:rPr>
                <w:rFonts w:hint="eastAsia" w:ascii="宋体" w:hAnsi="宋体" w:cs="宋体"/>
              </w:rPr>
            </w:pPr>
            <w:r>
              <w:rPr>
                <w:rFonts w:hint="eastAsia" w:ascii="宋体" w:hAnsi="宋体" w:cs="宋体"/>
                <w:color w:val="000000" w:themeColor="text1"/>
                <w:lang w:val="en-US" w:eastAsia="zh-CN"/>
                <w14:textFill>
                  <w14:solidFill>
                    <w14:schemeClr w14:val="tx1"/>
                  </w14:solidFill>
                </w14:textFill>
              </w:rPr>
              <w:t>8.4</w:t>
            </w:r>
            <w:r>
              <w:rPr>
                <w:rFonts w:hint="eastAsia" w:ascii="宋体" w:hAnsi="宋体" w:cs="宋体"/>
                <w:color w:val="000000" w:themeColor="text1"/>
                <w14:textFill>
                  <w14:solidFill>
                    <w14:schemeClr w14:val="tx1"/>
                  </w14:solidFill>
                </w14:textFill>
              </w:rPr>
              <w:t>m</w:t>
            </w:r>
          </w:p>
        </w:tc>
      </w:tr>
      <w:tr w14:paraId="1B4640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5DE266A6">
            <w:pPr>
              <w:pStyle w:val="11"/>
              <w:widowControl w:val="0"/>
              <w:spacing w:line="360" w:lineRule="auto"/>
              <w:rPr>
                <w:rFonts w:hint="eastAsia" w:ascii="宋体" w:hAnsi="宋体" w:cs="宋体"/>
                <w:bCs/>
              </w:rPr>
            </w:pPr>
            <w:r>
              <w:rPr>
                <w:rFonts w:hint="eastAsia" w:ascii="宋体" w:hAnsi="宋体" w:cs="宋体"/>
                <w:bCs/>
              </w:rPr>
              <w:t>储存设施</w:t>
            </w:r>
          </w:p>
        </w:tc>
        <w:tc>
          <w:tcPr>
            <w:tcW w:w="770" w:type="pct"/>
            <w:vAlign w:val="center"/>
          </w:tcPr>
          <w:p w14:paraId="5188E777">
            <w:pPr>
              <w:pStyle w:val="11"/>
              <w:widowControl w:val="0"/>
              <w:spacing w:line="360" w:lineRule="auto"/>
              <w:rPr>
                <w:rFonts w:hint="eastAsia" w:ascii="宋体" w:hAnsi="宋体" w:cs="宋体"/>
                <w:bCs/>
              </w:rPr>
            </w:pPr>
            <w:r>
              <w:rPr>
                <w:rFonts w:hint="eastAsia" w:ascii="宋体" w:hAnsi="宋体" w:cs="宋体"/>
                <w:bCs/>
              </w:rPr>
              <w:t>汽油</w:t>
            </w:r>
          </w:p>
        </w:tc>
        <w:tc>
          <w:tcPr>
            <w:tcW w:w="2116" w:type="pct"/>
            <w:gridSpan w:val="5"/>
            <w:vAlign w:val="center"/>
          </w:tcPr>
          <w:p w14:paraId="0C248F0F">
            <w:pPr>
              <w:pStyle w:val="11"/>
              <w:widowControl w:val="0"/>
              <w:spacing w:line="360" w:lineRule="auto"/>
              <w:rPr>
                <w:rFonts w:hint="eastAsia" w:ascii="宋体" w:hAnsi="宋体" w:cs="宋体"/>
                <w:bCs/>
              </w:rPr>
            </w:pPr>
            <w:r>
              <w:rPr>
                <w:rFonts w:hint="eastAsia" w:ascii="宋体" w:hAnsi="宋体" w:cs="宋体"/>
                <w:bCs/>
              </w:rPr>
              <w:t>共3个汽油罐，每罐容积为</w:t>
            </w:r>
            <w:r>
              <w:rPr>
                <w:rFonts w:hint="eastAsia" w:ascii="宋体" w:hAnsi="宋体" w:cs="宋体"/>
                <w:bCs/>
                <w:u w:val="single"/>
              </w:rPr>
              <w:t xml:space="preserve">30 </w:t>
            </w:r>
            <w:r>
              <w:rPr>
                <w:rFonts w:hint="eastAsia" w:ascii="宋体" w:hAnsi="宋体" w:cs="宋体"/>
                <w:bCs/>
              </w:rPr>
              <w:t>m³</w:t>
            </w:r>
          </w:p>
        </w:tc>
        <w:tc>
          <w:tcPr>
            <w:tcW w:w="1344" w:type="pct"/>
            <w:gridSpan w:val="3"/>
            <w:vMerge w:val="restart"/>
            <w:vAlign w:val="center"/>
          </w:tcPr>
          <w:p w14:paraId="7190E938">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5F500114">
            <w:pPr>
              <w:pStyle w:val="11"/>
              <w:widowControl w:val="0"/>
              <w:snapToGrid w:val="0"/>
              <w:spacing w:line="240" w:lineRule="auto"/>
              <w:rPr>
                <w:rFonts w:hint="eastAsia" w:ascii="宋体" w:hAnsi="宋体" w:cs="宋体"/>
              </w:rPr>
            </w:pPr>
            <w:r>
              <w:rPr>
                <w:rFonts w:hint="eastAsia" w:ascii="宋体" w:hAnsi="宋体" w:cs="宋体"/>
              </w:rPr>
              <w:t>储存能力：</w:t>
            </w:r>
            <w:r>
              <w:rPr>
                <w:rFonts w:hint="eastAsia" w:ascii="宋体" w:hAnsi="宋体" w:cs="宋体"/>
                <w:lang w:val="en-US" w:eastAsia="zh-CN"/>
              </w:rPr>
              <w:t>120</w:t>
            </w:r>
            <w:r>
              <w:rPr>
                <w:rFonts w:hint="eastAsia" w:ascii="宋体" w:hAnsi="宋体" w:cs="宋体"/>
                <w:bCs/>
              </w:rPr>
              <w:t>m</w:t>
            </w:r>
            <w:r>
              <w:rPr>
                <w:rFonts w:hint="eastAsia" w:ascii="宋体" w:hAnsi="宋体" w:cs="宋体"/>
                <w:vertAlign w:val="superscript"/>
              </w:rPr>
              <w:t>3</w:t>
            </w:r>
          </w:p>
        </w:tc>
      </w:tr>
      <w:tr w14:paraId="330BD5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11D69E4">
            <w:pPr>
              <w:pStyle w:val="11"/>
              <w:widowControl w:val="0"/>
              <w:spacing w:line="360" w:lineRule="auto"/>
              <w:rPr>
                <w:rFonts w:hint="eastAsia" w:ascii="宋体" w:hAnsi="宋体" w:cs="宋体"/>
                <w:bCs/>
              </w:rPr>
            </w:pPr>
          </w:p>
        </w:tc>
        <w:tc>
          <w:tcPr>
            <w:tcW w:w="770" w:type="pct"/>
            <w:vAlign w:val="center"/>
          </w:tcPr>
          <w:p w14:paraId="10743835">
            <w:pPr>
              <w:pStyle w:val="11"/>
              <w:widowControl w:val="0"/>
              <w:spacing w:line="360" w:lineRule="auto"/>
              <w:rPr>
                <w:rFonts w:hint="eastAsia" w:ascii="宋体" w:hAnsi="宋体" w:cs="宋体"/>
                <w:bCs/>
              </w:rPr>
            </w:pPr>
            <w:r>
              <w:rPr>
                <w:rFonts w:hint="eastAsia" w:ascii="宋体" w:hAnsi="宋体" w:cs="宋体"/>
                <w:bCs/>
              </w:rPr>
              <w:t>柴油</w:t>
            </w:r>
          </w:p>
        </w:tc>
        <w:tc>
          <w:tcPr>
            <w:tcW w:w="2116" w:type="pct"/>
            <w:gridSpan w:val="5"/>
            <w:vAlign w:val="center"/>
          </w:tcPr>
          <w:p w14:paraId="559CFDC7">
            <w:pPr>
              <w:pStyle w:val="11"/>
              <w:widowControl w:val="0"/>
              <w:spacing w:line="360" w:lineRule="auto"/>
              <w:rPr>
                <w:rFonts w:hint="eastAsia" w:ascii="宋体" w:hAnsi="宋体" w:cs="宋体"/>
                <w:bCs/>
              </w:rPr>
            </w:pPr>
            <w:r>
              <w:rPr>
                <w:rFonts w:hint="eastAsia" w:ascii="宋体" w:hAnsi="宋体" w:cs="宋体"/>
                <w:bCs/>
              </w:rPr>
              <w:t>共1个柴油罐，每罐容积为</w:t>
            </w:r>
            <w:r>
              <w:rPr>
                <w:rFonts w:hint="eastAsia" w:ascii="宋体" w:hAnsi="宋体" w:cs="宋体"/>
                <w:bCs/>
                <w:u w:val="single"/>
              </w:rPr>
              <w:t xml:space="preserve"> </w:t>
            </w:r>
            <w:r>
              <w:rPr>
                <w:rFonts w:hint="eastAsia" w:ascii="宋体" w:hAnsi="宋体" w:cs="宋体"/>
                <w:bCs/>
                <w:u w:val="single"/>
                <w:lang w:val="en-US" w:eastAsia="zh-CN"/>
              </w:rPr>
              <w:t>3</w:t>
            </w:r>
            <w:r>
              <w:rPr>
                <w:rFonts w:hint="eastAsia" w:ascii="宋体" w:hAnsi="宋体" w:cs="宋体"/>
                <w:bCs/>
                <w:u w:val="single"/>
              </w:rPr>
              <w:t xml:space="preserve">0 </w:t>
            </w:r>
            <w:r>
              <w:rPr>
                <w:rFonts w:hint="eastAsia" w:ascii="宋体" w:hAnsi="宋体" w:cs="宋体"/>
                <w:bCs/>
              </w:rPr>
              <w:t>m³</w:t>
            </w:r>
          </w:p>
        </w:tc>
        <w:tc>
          <w:tcPr>
            <w:tcW w:w="1344" w:type="pct"/>
            <w:gridSpan w:val="3"/>
            <w:vMerge w:val="continue"/>
            <w:vAlign w:val="center"/>
          </w:tcPr>
          <w:p w14:paraId="02C0A1CD">
            <w:pPr>
              <w:pStyle w:val="11"/>
              <w:widowControl w:val="0"/>
              <w:spacing w:line="360" w:lineRule="auto"/>
              <w:rPr>
                <w:rFonts w:hint="eastAsia" w:ascii="宋体" w:hAnsi="宋体" w:cs="宋体"/>
                <w:bCs/>
              </w:rPr>
            </w:pPr>
          </w:p>
        </w:tc>
      </w:tr>
      <w:tr w14:paraId="603A25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7FDA617">
            <w:pPr>
              <w:pStyle w:val="11"/>
              <w:widowControl w:val="0"/>
              <w:spacing w:line="360" w:lineRule="auto"/>
              <w:rPr>
                <w:rFonts w:hint="eastAsia" w:ascii="宋体" w:hAnsi="宋体" w:cs="宋体"/>
                <w:bCs/>
              </w:rPr>
            </w:pPr>
            <w:r>
              <w:rPr>
                <w:rFonts w:hint="eastAsia" w:ascii="宋体" w:hAnsi="宋体" w:cs="宋体"/>
                <w:bCs/>
              </w:rPr>
              <w:t>加油设施</w:t>
            </w:r>
          </w:p>
        </w:tc>
        <w:tc>
          <w:tcPr>
            <w:tcW w:w="770" w:type="pct"/>
            <w:vAlign w:val="center"/>
          </w:tcPr>
          <w:p w14:paraId="08D9BE8A">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246F631D">
            <w:pPr>
              <w:pStyle w:val="11"/>
              <w:widowControl w:val="0"/>
              <w:spacing w:line="360" w:lineRule="auto"/>
              <w:rPr>
                <w:rFonts w:hint="eastAsia" w:ascii="宋体" w:hAnsi="宋体" w:cs="宋体"/>
                <w:bCs/>
              </w:rPr>
            </w:pPr>
            <w:r>
              <w:rPr>
                <w:rFonts w:hint="eastAsia" w:ascii="宋体" w:hAnsi="宋体" w:cs="宋体"/>
                <w:bCs/>
              </w:rPr>
              <w:t>3台双枪，1台单枪（均为非自助）</w:t>
            </w:r>
          </w:p>
        </w:tc>
      </w:tr>
      <w:tr w14:paraId="78A5C2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1AE40EB">
            <w:pPr>
              <w:pStyle w:val="11"/>
              <w:widowControl w:val="0"/>
              <w:spacing w:line="360" w:lineRule="auto"/>
              <w:rPr>
                <w:rFonts w:hint="eastAsia" w:ascii="宋体" w:hAnsi="宋体" w:cs="宋体"/>
                <w:bCs/>
              </w:rPr>
            </w:pPr>
          </w:p>
        </w:tc>
        <w:tc>
          <w:tcPr>
            <w:tcW w:w="770" w:type="pct"/>
            <w:vAlign w:val="center"/>
          </w:tcPr>
          <w:p w14:paraId="04FD557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vAlign w:val="center"/>
          </w:tcPr>
          <w:p w14:paraId="05C52EE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 自吸式☑</w:t>
            </w:r>
          </w:p>
        </w:tc>
      </w:tr>
      <w:tr w14:paraId="64336D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0A11DD37">
            <w:pPr>
              <w:pStyle w:val="11"/>
              <w:widowControl w:val="0"/>
              <w:spacing w:line="360" w:lineRule="auto"/>
              <w:rPr>
                <w:rFonts w:hint="eastAsia" w:ascii="宋体" w:hAnsi="宋体" w:cs="宋体"/>
                <w:bCs/>
              </w:rPr>
            </w:pPr>
            <w:r>
              <w:rPr>
                <w:rFonts w:hint="eastAsia" w:ascii="宋体" w:hAnsi="宋体" w:cs="宋体"/>
                <w:bCs/>
              </w:rPr>
              <w:t>消防设施</w:t>
            </w:r>
          </w:p>
        </w:tc>
        <w:tc>
          <w:tcPr>
            <w:tcW w:w="770" w:type="pct"/>
            <w:vAlign w:val="center"/>
          </w:tcPr>
          <w:p w14:paraId="6A6049E4">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vAlign w:val="center"/>
          </w:tcPr>
          <w:p w14:paraId="0AFF918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具</w:t>
            </w:r>
          </w:p>
        </w:tc>
        <w:tc>
          <w:tcPr>
            <w:tcW w:w="685" w:type="pct"/>
            <w:vAlign w:val="center"/>
          </w:tcPr>
          <w:p w14:paraId="097F093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5kg手提式干粉灭火器</w:t>
            </w:r>
          </w:p>
        </w:tc>
        <w:tc>
          <w:tcPr>
            <w:tcW w:w="844" w:type="pct"/>
            <w:gridSpan w:val="2"/>
            <w:vAlign w:val="center"/>
          </w:tcPr>
          <w:p w14:paraId="699151A7">
            <w:pPr>
              <w:pStyle w:val="11"/>
              <w:widowControl w:val="0"/>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具</w:t>
            </w:r>
          </w:p>
        </w:tc>
        <w:tc>
          <w:tcPr>
            <w:tcW w:w="622" w:type="pct"/>
            <w:vAlign w:val="center"/>
          </w:tcPr>
          <w:p w14:paraId="06F6693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21" w:type="pct"/>
            <w:gridSpan w:val="2"/>
            <w:vAlign w:val="center"/>
          </w:tcPr>
          <w:p w14:paraId="362FD60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EA4FF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3FC3A2A">
            <w:pPr>
              <w:pStyle w:val="11"/>
              <w:widowControl w:val="0"/>
              <w:spacing w:line="360" w:lineRule="auto"/>
              <w:rPr>
                <w:rFonts w:hint="eastAsia" w:ascii="宋体" w:hAnsi="宋体" w:cs="宋体"/>
                <w:bCs/>
              </w:rPr>
            </w:pPr>
          </w:p>
        </w:tc>
        <w:tc>
          <w:tcPr>
            <w:tcW w:w="770" w:type="pct"/>
            <w:vAlign w:val="center"/>
          </w:tcPr>
          <w:p w14:paraId="1E502A5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vAlign w:val="center"/>
          </w:tcPr>
          <w:p w14:paraId="0475E1BE">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块</w:t>
            </w:r>
          </w:p>
        </w:tc>
        <w:tc>
          <w:tcPr>
            <w:tcW w:w="685" w:type="pct"/>
            <w:vAlign w:val="center"/>
          </w:tcPr>
          <w:p w14:paraId="3961F31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844" w:type="pct"/>
            <w:gridSpan w:val="2"/>
            <w:vAlign w:val="center"/>
          </w:tcPr>
          <w:p w14:paraId="7DB7949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4把</w:t>
            </w:r>
          </w:p>
        </w:tc>
        <w:tc>
          <w:tcPr>
            <w:tcW w:w="622" w:type="pct"/>
            <w:vAlign w:val="center"/>
          </w:tcPr>
          <w:p w14:paraId="06CD546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消防桶</w:t>
            </w:r>
          </w:p>
        </w:tc>
        <w:tc>
          <w:tcPr>
            <w:tcW w:w="721" w:type="pct"/>
            <w:gridSpan w:val="2"/>
            <w:vAlign w:val="center"/>
          </w:tcPr>
          <w:p w14:paraId="0E2AE52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2个</w:t>
            </w:r>
          </w:p>
        </w:tc>
      </w:tr>
      <w:tr w14:paraId="1ECE45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AE2FE6C">
            <w:pPr>
              <w:pStyle w:val="11"/>
              <w:widowControl w:val="0"/>
              <w:spacing w:line="360" w:lineRule="auto"/>
              <w:rPr>
                <w:rFonts w:hint="eastAsia" w:ascii="宋体" w:hAnsi="宋体" w:cs="宋体"/>
                <w:bCs/>
              </w:rPr>
            </w:pPr>
          </w:p>
        </w:tc>
        <w:tc>
          <w:tcPr>
            <w:tcW w:w="770" w:type="pct"/>
            <w:vAlign w:val="center"/>
          </w:tcPr>
          <w:p w14:paraId="314739B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vAlign w:val="center"/>
          </w:tcPr>
          <w:p w14:paraId="147E226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vAlign w:val="center"/>
          </w:tcPr>
          <w:p w14:paraId="45FBC6F4">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844" w:type="pct"/>
            <w:gridSpan w:val="2"/>
            <w:vAlign w:val="center"/>
          </w:tcPr>
          <w:p w14:paraId="670C552E">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622" w:type="pct"/>
            <w:vAlign w:val="center"/>
          </w:tcPr>
          <w:p w14:paraId="5F2CBE0B">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21" w:type="pct"/>
            <w:gridSpan w:val="2"/>
            <w:vAlign w:val="center"/>
          </w:tcPr>
          <w:p w14:paraId="5283A142">
            <w:pPr>
              <w:pStyle w:val="11"/>
              <w:widowControl w:val="0"/>
              <w:spacing w:line="360" w:lineRule="auto"/>
              <w:rPr>
                <w:rFonts w:hint="eastAsia" w:ascii="宋体" w:hAnsi="宋体" w:cs="宋体"/>
                <w:bCs/>
                <w:color w:val="000000" w:themeColor="text1"/>
                <w14:textFill>
                  <w14:solidFill>
                    <w14:schemeClr w14:val="tx1"/>
                  </w14:solidFill>
                </w14:textFill>
              </w:rPr>
            </w:pPr>
          </w:p>
        </w:tc>
      </w:tr>
    </w:tbl>
    <w:p w14:paraId="2D534B63">
      <w:pPr>
        <w:pStyle w:val="9"/>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9" w:name="_Toc102633907"/>
      <w:bookmarkStart w:id="20" w:name="_Toc15033754"/>
      <w:bookmarkStart w:id="21" w:name="_Toc23543"/>
      <w:bookmarkStart w:id="22" w:name="_Toc102634256"/>
      <w:bookmarkStart w:id="23" w:name="_Toc238007574"/>
      <w:bookmarkStart w:id="24" w:name="_Toc102634407"/>
      <w:bookmarkStart w:id="25" w:name="_Toc198026273"/>
      <w:bookmarkStart w:id="26" w:name="_Toc272364536"/>
      <w:bookmarkStart w:id="27" w:name="_Toc7829"/>
      <w:bookmarkStart w:id="28" w:name="_Toc102633981"/>
      <w:bookmarkStart w:id="29" w:name="_Toc192907201"/>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188080068"/>
      <w:bookmarkStart w:id="33" w:name="_Toc188079886"/>
      <w:bookmarkStart w:id="34" w:name="_Toc272364537"/>
      <w:bookmarkStart w:id="35" w:name="_Toc15033755"/>
      <w:bookmarkStart w:id="36" w:name="_Toc238007575"/>
      <w:bookmarkStart w:id="37" w:name="_Toc192907202"/>
      <w:bookmarkStart w:id="38" w:name="_Toc19785"/>
      <w:bookmarkStart w:id="39" w:name="_Toc24232"/>
      <w:bookmarkStart w:id="40" w:name="_Toc198026274"/>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3908"/>
      <w:bookmarkStart w:id="42" w:name="_Toc102633982"/>
      <w:bookmarkStart w:id="43" w:name="_Toc102634259"/>
      <w:bookmarkStart w:id="44" w:name="_Toc102634408"/>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02634414"/>
      <w:bookmarkStart w:id="46" w:name="_Toc102634276"/>
      <w:bookmarkStart w:id="47" w:name="_Toc9894"/>
      <w:bookmarkStart w:id="48" w:name="_Toc15033761"/>
      <w:bookmarkStart w:id="49" w:name="_Toc102633914"/>
      <w:bookmarkStart w:id="50" w:name="_Toc102633988"/>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225046264"/>
      <w:bookmarkStart w:id="52" w:name="_Toc339456079"/>
      <w:bookmarkStart w:id="53" w:name="_Toc242065302"/>
      <w:bookmarkStart w:id="54" w:name="_Toc4961"/>
      <w:bookmarkStart w:id="55" w:name="_Toc102634277"/>
      <w:bookmarkStart w:id="56" w:name="_Toc102633989"/>
      <w:bookmarkStart w:id="57" w:name="_Toc15033762"/>
      <w:bookmarkStart w:id="58" w:name="_Toc102634415"/>
      <w:bookmarkStart w:id="59" w:name="_Toc348877039"/>
      <w:bookmarkStart w:id="60" w:name="_Toc1026339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49590281"/>
      <w:bookmarkStart w:id="62" w:name="_Toc15033763"/>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kern w:val="0"/>
                <w:u w:color="000000"/>
                <w:lang w:val="en-US" w:eastAsia="zh-CN"/>
              </w:rPr>
              <w:t>液位仪和测漏仪未设UPS电源；</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kern w:val="0"/>
                <w:u w:color="000000"/>
                <w:lang w:val="en-US" w:eastAsia="zh-CN"/>
              </w:rPr>
              <w:t>液位仪和测漏仪应设UPS电源。</w:t>
            </w:r>
          </w:p>
        </w:tc>
      </w:tr>
      <w:tr w14:paraId="4625D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A90F02C">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2</w:t>
            </w:r>
          </w:p>
        </w:tc>
        <w:tc>
          <w:tcPr>
            <w:tcW w:w="4212" w:type="dxa"/>
            <w:vAlign w:val="center"/>
          </w:tcPr>
          <w:p w14:paraId="580992BE">
            <w:pPr>
              <w:widowControl/>
              <w:tabs>
                <w:tab w:val="left" w:pos="6120"/>
              </w:tabs>
              <w:adjustRightInd w:val="0"/>
              <w:spacing w:before="31" w:beforeLines="10" w:after="31" w:afterLines="10" w:line="320" w:lineRule="exact"/>
              <w:jc w:val="center"/>
              <w:textAlignment w:val="baseline"/>
              <w:rPr>
                <w:rFonts w:hint="eastAsia" w:ascii="宋体" w:hAnsi="宋体"/>
                <w:color w:val="auto"/>
                <w:kern w:val="0"/>
                <w:u w:color="000000"/>
                <w:lang w:val="en-US" w:eastAsia="zh-CN"/>
              </w:rPr>
            </w:pPr>
            <w:r>
              <w:rPr>
                <w:rFonts w:hint="eastAsia" w:ascii="宋体" w:hAnsi="宋体"/>
                <w:kern w:val="0"/>
                <w:u w:color="000000"/>
                <w:lang w:val="en-US" w:eastAsia="zh-CN"/>
              </w:rPr>
              <w:t>站房内急停按钮未设保护罩；</w:t>
            </w:r>
          </w:p>
        </w:tc>
        <w:tc>
          <w:tcPr>
            <w:tcW w:w="4373" w:type="dxa"/>
            <w:vAlign w:val="center"/>
          </w:tcPr>
          <w:p w14:paraId="107F9ECF">
            <w:pPr>
              <w:widowControl/>
              <w:tabs>
                <w:tab w:val="left" w:pos="6120"/>
              </w:tabs>
              <w:adjustRightInd w:val="0"/>
              <w:spacing w:before="31" w:beforeLines="10" w:after="31" w:afterLines="10" w:line="320" w:lineRule="exact"/>
              <w:jc w:val="center"/>
              <w:textAlignment w:val="baseline"/>
              <w:rPr>
                <w:rFonts w:hint="eastAsia" w:ascii="宋体" w:hAnsi="宋体"/>
                <w:color w:val="auto"/>
                <w:kern w:val="0"/>
                <w:u w:color="000000"/>
                <w:lang w:val="en-US" w:eastAsia="zh-CN"/>
              </w:rPr>
            </w:pPr>
            <w:r>
              <w:rPr>
                <w:rFonts w:hint="eastAsia" w:ascii="宋体" w:hAnsi="宋体"/>
                <w:kern w:val="0"/>
                <w:u w:color="000000"/>
                <w:lang w:val="en-US" w:eastAsia="zh-CN"/>
              </w:rPr>
              <w:t>站房内急停按钮应设保护罩。</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654040" cy="9051290"/>
            <wp:effectExtent l="0" t="0" r="10160" b="3810"/>
            <wp:docPr id="15" name="图片 15" descr="9e10e47f97c7449fb12b85042b7a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e10e47f97c7449fb12b85042b7a40a"/>
                    <pic:cNvPicPr>
                      <a:picLocks noChangeAspect="1"/>
                    </pic:cNvPicPr>
                  </pic:nvPicPr>
                  <pic:blipFill>
                    <a:blip r:embed="rId11"/>
                    <a:stretch>
                      <a:fillRect/>
                    </a:stretch>
                  </pic:blipFill>
                  <pic:spPr>
                    <a:xfrm>
                      <a:off x="0" y="0"/>
                      <a:ext cx="5654040" cy="9051290"/>
                    </a:xfrm>
                    <a:prstGeom prst="rect">
                      <a:avLst/>
                    </a:prstGeom>
                  </pic:spPr>
                </pic:pic>
              </a:graphicData>
            </a:graphic>
          </wp:inline>
        </w:drawing>
      </w: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64555" cy="9011285"/>
            <wp:effectExtent l="0" t="0" r="4445" b="5715"/>
            <wp:docPr id="16" name="图片 16" descr="2090994c6ac802b74265d26df9b6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90994c6ac802b74265d26df9b6ae9"/>
                    <pic:cNvPicPr>
                      <a:picLocks noChangeAspect="1"/>
                    </pic:cNvPicPr>
                  </pic:nvPicPr>
                  <pic:blipFill>
                    <a:blip r:embed="rId12"/>
                    <a:stretch>
                      <a:fillRect/>
                    </a:stretch>
                  </pic:blipFill>
                  <pic:spPr>
                    <a:xfrm>
                      <a:off x="0" y="0"/>
                      <a:ext cx="5964555" cy="9011285"/>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56300" cy="8646160"/>
            <wp:effectExtent l="0" t="0" r="0" b="2540"/>
            <wp:docPr id="18" name="图片 18" descr="2c16860280e8797ab19ecd9757d6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16860280e8797ab19ecd9757d6ef5"/>
                    <pic:cNvPicPr>
                      <a:picLocks noChangeAspect="1"/>
                    </pic:cNvPicPr>
                  </pic:nvPicPr>
                  <pic:blipFill>
                    <a:blip r:embed="rId13"/>
                    <a:stretch>
                      <a:fillRect/>
                    </a:stretch>
                  </pic:blipFill>
                  <pic:spPr>
                    <a:xfrm>
                      <a:off x="0" y="0"/>
                      <a:ext cx="5956300" cy="8646160"/>
                    </a:xfrm>
                    <a:prstGeom prst="rect">
                      <a:avLst/>
                    </a:prstGeom>
                  </pic:spPr>
                </pic:pic>
              </a:graphicData>
            </a:graphic>
          </wp:inline>
        </w:drawing>
      </w:r>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12467B"/>
    <w:rsid w:val="36920A93"/>
    <w:rsid w:val="39894EC2"/>
    <w:rsid w:val="41D911B0"/>
    <w:rsid w:val="439D752C"/>
    <w:rsid w:val="5CFB130E"/>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1433</Words>
  <Characters>1717</Characters>
  <Lines>0</Lines>
  <Paragraphs>0</Paragraphs>
  <TotalTime>1</TotalTime>
  <ScaleCrop>false</ScaleCrop>
  <LinksUpToDate>false</LinksUpToDate>
  <CharactersWithSpaces>1742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86138</cp:lastModifiedBy>
  <dcterms:modified xsi:type="dcterms:W3CDTF">2025-06-04T03:28:34Z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68E79501D11842178A9097CCE2A3EF02_11</vt:lpwstr>
  </property>
  <property fmtid="{D5CDD505-2E9C-101B-9397-08002B2CF9AE}" pid="4" name="KSOTemplateDocerSaveRecord">
    <vt:lpwstr>eyJoZGlkIjoiZjMxZWMwZmRjMzZlYzM2NWRiYjJmYjFkYTJjZWJiMTcifQ==</vt:lpwstr>
  </property>
</Properties>
</file>