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DA749">
      <w:pPr>
        <w:jc w:val="center"/>
        <w:rPr>
          <w:rFonts w:hint="eastAsia" w:ascii="黑体" w:hAnsi="黑体" w:eastAsia="黑体" w:cs="黑体"/>
          <w:sz w:val="28"/>
          <w:szCs w:val="28"/>
        </w:rPr>
      </w:pPr>
      <w:r>
        <w:rPr>
          <w:rFonts w:hint="eastAsia" w:ascii="黑体" w:hAnsi="黑体" w:eastAsia="黑体" w:cs="黑体"/>
          <w:sz w:val="28"/>
          <w:szCs w:val="28"/>
        </w:rPr>
        <w:t>安全评价项目信息表</w:t>
      </w:r>
    </w:p>
    <w:p w14:paraId="2E2E7E1F">
      <w:pPr>
        <w:rPr>
          <w:rFonts w:hint="eastAsia"/>
          <w:sz w:val="21"/>
          <w:szCs w:val="21"/>
          <w:lang w:val="en-US" w:eastAsia="zh-CN"/>
        </w:rPr>
      </w:pPr>
      <w:bookmarkStart w:id="63" w:name="_GoBack"/>
      <w:bookmarkEnd w:id="63"/>
      <w:r>
        <w:rPr>
          <w:rFonts w:hint="eastAsia"/>
          <w:sz w:val="21"/>
          <w:szCs w:val="21"/>
          <w:lang w:val="en-US" w:eastAsia="zh-CN"/>
        </w:rPr>
        <w:t>项目编号：</w:t>
      </w:r>
    </w:p>
    <w:tbl>
      <w:tblPr>
        <w:tblStyle w:val="8"/>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68" w:type="dxa"/>
          <w:left w:w="108" w:type="dxa"/>
          <w:bottom w:w="68" w:type="dxa"/>
          <w:right w:w="108" w:type="dxa"/>
        </w:tblCellMar>
      </w:tblPr>
      <w:tblGrid>
        <w:gridCol w:w="1832"/>
        <w:gridCol w:w="2188"/>
        <w:gridCol w:w="2350"/>
        <w:gridCol w:w="2918"/>
      </w:tblGrid>
      <w:tr w14:paraId="33223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2F45E67">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项目名称</w:t>
            </w:r>
          </w:p>
        </w:tc>
        <w:tc>
          <w:tcPr>
            <w:tcW w:w="7456" w:type="dxa"/>
            <w:gridSpan w:val="3"/>
            <w:tcBorders>
              <w:tl2br w:val="nil"/>
              <w:tr2bl w:val="nil"/>
            </w:tcBorders>
            <w:shd w:val="clear" w:color="auto" w:fill="auto"/>
            <w:vAlign w:val="center"/>
          </w:tcPr>
          <w:p w14:paraId="2A4BFBB0">
            <w:pPr>
              <w:autoSpaceDE w:val="0"/>
              <w:autoSpaceDN w:val="0"/>
              <w:adjustRightInd w:val="0"/>
              <w:snapToGrid w:val="0"/>
              <w:spacing w:line="240" w:lineRule="auto"/>
              <w:ind w:firstLine="0" w:firstLineChars="0"/>
              <w:jc w:val="center"/>
              <w:rPr>
                <w:rFonts w:hint="eastAsia"/>
                <w:color w:val="000000"/>
                <w:szCs w:val="21"/>
                <w:lang w:eastAsia="zh-CN"/>
              </w:rPr>
            </w:pPr>
            <w:r>
              <w:rPr>
                <w:rFonts w:hint="eastAsia"/>
                <w:color w:val="000000"/>
                <w:szCs w:val="21"/>
                <w:lang w:eastAsia="zh-CN"/>
              </w:rPr>
              <w:t>中国石化山东泰山石油股份有限公司肥城第</w:t>
            </w:r>
            <w:r>
              <w:rPr>
                <w:rFonts w:hint="eastAsia"/>
                <w:color w:val="000000"/>
                <w:szCs w:val="21"/>
                <w:lang w:val="en-US" w:eastAsia="zh-CN"/>
              </w:rPr>
              <w:t>二十四</w:t>
            </w:r>
            <w:r>
              <w:rPr>
                <w:rFonts w:hint="eastAsia"/>
                <w:color w:val="000000"/>
                <w:szCs w:val="21"/>
                <w:lang w:eastAsia="zh-CN"/>
              </w:rPr>
              <w:t>加油站</w:t>
            </w:r>
          </w:p>
          <w:p w14:paraId="5F0EE625">
            <w:pPr>
              <w:autoSpaceDE w:val="0"/>
              <w:autoSpaceDN w:val="0"/>
              <w:adjustRightInd w:val="0"/>
              <w:snapToGrid w:val="0"/>
              <w:spacing w:line="240" w:lineRule="auto"/>
              <w:ind w:firstLine="0" w:firstLineChars="0"/>
              <w:jc w:val="center"/>
              <w:rPr>
                <w:rFonts w:hint="default" w:ascii="宋体" w:hAnsi="宋体" w:eastAsia="宋体" w:cs="宋体"/>
                <w:b w:val="0"/>
                <w:bCs w:val="0"/>
                <w:color w:val="auto"/>
                <w:kern w:val="0"/>
                <w:sz w:val="21"/>
                <w:szCs w:val="21"/>
                <w:highlight w:val="none"/>
                <w:lang w:val="en-US"/>
              </w:rPr>
            </w:pPr>
            <w:r>
              <w:rPr>
                <w:rFonts w:hint="eastAsia"/>
                <w:color w:val="000000"/>
                <w:szCs w:val="21"/>
                <w:lang w:eastAsia="zh-CN"/>
              </w:rPr>
              <w:t>经营危险化学品现状评价</w:t>
            </w:r>
          </w:p>
        </w:tc>
      </w:tr>
      <w:tr w14:paraId="1F3FA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966" w:hRule="atLeast"/>
          <w:jc w:val="center"/>
        </w:trPr>
        <w:tc>
          <w:tcPr>
            <w:tcW w:w="1832" w:type="dxa"/>
            <w:tcBorders>
              <w:tl2br w:val="nil"/>
              <w:tr2bl w:val="nil"/>
            </w:tcBorders>
            <w:shd w:val="clear" w:color="auto" w:fill="auto"/>
            <w:vAlign w:val="center"/>
          </w:tcPr>
          <w:p w14:paraId="591D3CED">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项目简介</w:t>
            </w:r>
          </w:p>
        </w:tc>
        <w:tc>
          <w:tcPr>
            <w:tcW w:w="7456" w:type="dxa"/>
            <w:gridSpan w:val="3"/>
            <w:tcBorders>
              <w:tl2br w:val="nil"/>
              <w:tr2bl w:val="nil"/>
            </w:tcBorders>
            <w:shd w:val="clear" w:color="auto" w:fill="auto"/>
            <w:noWrap/>
            <w:vAlign w:val="center"/>
          </w:tcPr>
          <w:p w14:paraId="2072520D">
            <w:pPr>
              <w:adjustRightInd w:val="0"/>
              <w:snapToGrid w:val="0"/>
              <w:spacing w:line="240" w:lineRule="auto"/>
              <w:rPr>
                <w:rFonts w:hint="eastAsia" w:ascii="宋体" w:hAnsi="宋体" w:cs="宋体" w:eastAsiaTheme="minorEastAsia"/>
                <w:b w:val="0"/>
                <w:bCs w:val="0"/>
                <w:color w:val="auto"/>
                <w:kern w:val="0"/>
                <w:sz w:val="21"/>
                <w:szCs w:val="21"/>
                <w:highlight w:val="none"/>
                <w:lang w:eastAsia="zh-CN"/>
              </w:rPr>
            </w:pPr>
            <w:r>
              <w:rPr>
                <w:rFonts w:hint="eastAsia"/>
                <w:color w:val="auto"/>
                <w:lang w:val="en-US" w:eastAsia="zh-CN"/>
              </w:rPr>
              <w:t>该加油站现有埋地双层储油罐3台，1</w:t>
            </w:r>
            <w:r>
              <w:rPr>
                <w:rFonts w:hint="eastAsia"/>
                <w:color w:val="auto"/>
              </w:rPr>
              <w:t>台</w:t>
            </w:r>
            <w:r>
              <w:rPr>
                <w:rFonts w:hint="eastAsia"/>
                <w:color w:val="auto"/>
                <w:lang w:val="en-US" w:eastAsia="zh-CN"/>
              </w:rPr>
              <w:t>30m</w:t>
            </w:r>
            <w:r>
              <w:rPr>
                <w:rFonts w:hint="eastAsia"/>
                <w:color w:val="auto"/>
                <w:sz w:val="21"/>
                <w:vertAlign w:val="superscript"/>
                <w:lang w:val="en-US" w:eastAsia="zh-CN"/>
              </w:rPr>
              <w:t>3</w:t>
            </w:r>
            <w:r>
              <w:rPr>
                <w:rFonts w:hint="eastAsia"/>
                <w:color w:val="auto"/>
              </w:rPr>
              <w:t>92#</w:t>
            </w:r>
            <w:r>
              <w:rPr>
                <w:rFonts w:hint="eastAsia"/>
                <w:color w:val="auto"/>
                <w:lang w:val="en-US" w:eastAsia="zh-CN"/>
              </w:rPr>
              <w:t>乙醇</w:t>
            </w:r>
            <w:r>
              <w:rPr>
                <w:rFonts w:hint="eastAsia"/>
                <w:color w:val="auto"/>
                <w:lang w:eastAsia="zh-CN"/>
              </w:rPr>
              <w:t>汽油</w:t>
            </w:r>
            <w:r>
              <w:rPr>
                <w:rFonts w:hint="eastAsia"/>
                <w:color w:val="auto"/>
              </w:rPr>
              <w:t>、</w:t>
            </w:r>
            <w:r>
              <w:rPr>
                <w:color w:val="auto"/>
              </w:rPr>
              <w:t>1</w:t>
            </w:r>
            <w:r>
              <w:rPr>
                <w:rFonts w:hint="eastAsia"/>
                <w:color w:val="auto"/>
              </w:rPr>
              <w:t>台</w:t>
            </w:r>
            <w:r>
              <w:rPr>
                <w:rFonts w:hint="eastAsia"/>
                <w:color w:val="auto"/>
                <w:lang w:val="en-US" w:eastAsia="zh-CN"/>
              </w:rPr>
              <w:t>30m</w:t>
            </w:r>
            <w:r>
              <w:rPr>
                <w:rFonts w:hint="eastAsia"/>
                <w:color w:val="auto"/>
                <w:sz w:val="21"/>
                <w:vertAlign w:val="superscript"/>
                <w:lang w:val="en-US" w:eastAsia="zh-CN"/>
              </w:rPr>
              <w:t>3</w:t>
            </w:r>
            <w:r>
              <w:rPr>
                <w:rFonts w:hint="eastAsia"/>
                <w:color w:val="auto"/>
              </w:rPr>
              <w:t>95#</w:t>
            </w:r>
            <w:r>
              <w:rPr>
                <w:rFonts w:hint="eastAsia"/>
                <w:color w:val="auto"/>
                <w:lang w:eastAsia="zh-CN"/>
              </w:rPr>
              <w:t>汽油、</w:t>
            </w:r>
            <w:r>
              <w:rPr>
                <w:rFonts w:hint="eastAsia"/>
                <w:color w:val="auto"/>
                <w:lang w:val="en-US" w:eastAsia="zh-CN"/>
              </w:rPr>
              <w:t>1</w:t>
            </w:r>
            <w:r>
              <w:rPr>
                <w:rFonts w:hint="eastAsia"/>
                <w:color w:val="auto"/>
              </w:rPr>
              <w:t>台</w:t>
            </w:r>
            <w:r>
              <w:rPr>
                <w:rFonts w:hint="eastAsia"/>
                <w:color w:val="auto"/>
                <w:lang w:val="en-US" w:eastAsia="zh-CN"/>
              </w:rPr>
              <w:t>30m</w:t>
            </w:r>
            <w:r>
              <w:rPr>
                <w:rFonts w:hint="eastAsia"/>
                <w:color w:val="auto"/>
                <w:sz w:val="21"/>
                <w:vertAlign w:val="superscript"/>
                <w:lang w:val="en-US" w:eastAsia="zh-CN"/>
              </w:rPr>
              <w:t>3</w:t>
            </w:r>
            <w:r>
              <w:rPr>
                <w:rFonts w:hint="eastAsia"/>
                <w:color w:val="auto"/>
              </w:rPr>
              <w:t>柴油</w:t>
            </w:r>
            <w:r>
              <w:rPr>
                <w:rFonts w:hint="eastAsia"/>
                <w:color w:val="auto"/>
                <w:highlight w:val="none"/>
                <w:lang w:eastAsia="zh-CN"/>
              </w:rPr>
              <w:t>。</w:t>
            </w:r>
            <w:r>
              <w:rPr>
                <w:rFonts w:hint="eastAsia"/>
                <w:color w:val="auto"/>
                <w:highlight w:val="none"/>
                <w:lang w:val="en-US" w:eastAsia="zh-CN"/>
              </w:rPr>
              <w:t>1台</w:t>
            </w:r>
            <w:r>
              <w:rPr>
                <w:rFonts w:hint="eastAsia"/>
                <w:strike w:val="0"/>
                <w:dstrike w:val="0"/>
                <w:color w:val="auto"/>
                <w:highlight w:val="none"/>
                <w:lang w:val="en-US" w:eastAsia="zh-CN"/>
              </w:rPr>
              <w:t>油气回收处理装置。</w:t>
            </w:r>
            <w:r>
              <w:rPr>
                <w:rFonts w:hint="eastAsia"/>
                <w:color w:val="auto"/>
                <w:lang w:val="en-US" w:eastAsia="zh-CN"/>
              </w:rPr>
              <w:t>加油站设置2座加油岛，共设</w:t>
            </w:r>
            <w:r>
              <w:rPr>
                <w:rFonts w:hint="eastAsia"/>
                <w:strike w:val="0"/>
                <w:dstrike w:val="0"/>
                <w:color w:val="auto"/>
                <w:highlight w:val="none"/>
                <w:lang w:val="en-US" w:eastAsia="zh-CN"/>
              </w:rPr>
              <w:t>2</w:t>
            </w:r>
            <w:r>
              <w:rPr>
                <w:rFonts w:hint="eastAsia"/>
                <w:strike w:val="0"/>
                <w:dstrike w:val="0"/>
                <w:color w:val="auto"/>
                <w:highlight w:val="none"/>
              </w:rPr>
              <w:t>台</w:t>
            </w:r>
            <w:r>
              <w:rPr>
                <w:rFonts w:hint="eastAsia"/>
                <w:strike w:val="0"/>
                <w:dstrike w:val="0"/>
                <w:color w:val="auto"/>
                <w:highlight w:val="none"/>
                <w:lang w:val="en-US" w:eastAsia="zh-CN"/>
              </w:rPr>
              <w:t>双</w:t>
            </w:r>
            <w:r>
              <w:rPr>
                <w:rFonts w:hint="eastAsia"/>
                <w:strike w:val="0"/>
                <w:dstrike w:val="0"/>
                <w:color w:val="auto"/>
                <w:highlight w:val="none"/>
              </w:rPr>
              <w:t>枪加油机</w:t>
            </w:r>
            <w:r>
              <w:rPr>
                <w:rFonts w:hint="eastAsia"/>
                <w:strike w:val="0"/>
                <w:dstrike w:val="0"/>
                <w:color w:val="auto"/>
                <w:highlight w:val="none"/>
                <w:lang w:eastAsia="zh-CN"/>
              </w:rPr>
              <w:t>（</w:t>
            </w:r>
            <w:r>
              <w:rPr>
                <w:rFonts w:hint="eastAsia"/>
                <w:strike w:val="0"/>
                <w:dstrike w:val="0"/>
                <w:color w:val="auto"/>
                <w:highlight w:val="none"/>
                <w:lang w:val="en-US" w:eastAsia="zh-CN"/>
              </w:rPr>
              <w:t>1台柴油加油机，1台92#乙醇汽油/95#汽油加油机</w:t>
            </w:r>
            <w:r>
              <w:rPr>
                <w:rFonts w:hint="eastAsia"/>
                <w:strike w:val="0"/>
                <w:dstrike w:val="0"/>
                <w:color w:val="auto"/>
                <w:highlight w:val="none"/>
                <w:lang w:eastAsia="zh-CN"/>
              </w:rPr>
              <w:t>）</w:t>
            </w:r>
            <w:r>
              <w:rPr>
                <w:rFonts w:hint="eastAsia" w:ascii="宋体" w:hAnsi="宋体" w:eastAsia="宋体" w:cs="宋体"/>
                <w:color w:val="auto"/>
                <w:lang w:eastAsia="zh-CN"/>
              </w:rPr>
              <w:t>。</w:t>
            </w:r>
          </w:p>
        </w:tc>
      </w:tr>
      <w:tr w14:paraId="24236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634F0C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评价人员</w:t>
            </w:r>
          </w:p>
        </w:tc>
        <w:tc>
          <w:tcPr>
            <w:tcW w:w="4538" w:type="dxa"/>
            <w:gridSpan w:val="2"/>
            <w:tcBorders>
              <w:tl2br w:val="nil"/>
              <w:tr2bl w:val="nil"/>
            </w:tcBorders>
            <w:shd w:val="clear" w:color="auto" w:fill="auto"/>
            <w:noWrap/>
            <w:vAlign w:val="center"/>
          </w:tcPr>
          <w:p w14:paraId="7AFCBB5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姓  名</w:t>
            </w:r>
          </w:p>
        </w:tc>
        <w:tc>
          <w:tcPr>
            <w:tcW w:w="2918" w:type="dxa"/>
            <w:tcBorders>
              <w:tl2br w:val="nil"/>
              <w:tr2bl w:val="nil"/>
            </w:tcBorders>
            <w:shd w:val="clear" w:color="auto" w:fill="auto"/>
            <w:noWrap/>
            <w:vAlign w:val="center"/>
          </w:tcPr>
          <w:p w14:paraId="4459B1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07127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20029CA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w:t>
            </w:r>
          </w:p>
        </w:tc>
        <w:tc>
          <w:tcPr>
            <w:tcW w:w="4538" w:type="dxa"/>
            <w:gridSpan w:val="2"/>
            <w:tcBorders>
              <w:tl2br w:val="nil"/>
              <w:tr2bl w:val="nil"/>
            </w:tcBorders>
            <w:shd w:val="clear" w:color="auto" w:fill="auto"/>
            <w:noWrap/>
            <w:vAlign w:val="center"/>
          </w:tcPr>
          <w:p w14:paraId="054FFD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辛磊</w:t>
            </w:r>
          </w:p>
        </w:tc>
        <w:tc>
          <w:tcPr>
            <w:tcW w:w="2918" w:type="dxa"/>
            <w:tcBorders>
              <w:tl2br w:val="nil"/>
              <w:tr2bl w:val="nil"/>
            </w:tcBorders>
            <w:shd w:val="clear" w:color="auto" w:fill="auto"/>
            <w:noWrap/>
            <w:vAlign w:val="center"/>
          </w:tcPr>
          <w:p w14:paraId="13B5539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068D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5BB9D89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项目组成员</w:t>
            </w:r>
          </w:p>
        </w:tc>
        <w:tc>
          <w:tcPr>
            <w:tcW w:w="4538" w:type="dxa"/>
            <w:gridSpan w:val="2"/>
            <w:tcBorders>
              <w:tl2br w:val="nil"/>
              <w:tr2bl w:val="nil"/>
            </w:tcBorders>
            <w:shd w:val="clear" w:color="auto" w:fill="auto"/>
            <w:noWrap/>
            <w:vAlign w:val="center"/>
          </w:tcPr>
          <w:p w14:paraId="08442A67">
            <w:pPr>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kern w:val="2"/>
                <w:sz w:val="24"/>
                <w:szCs w:val="24"/>
                <w:lang w:val="en-US" w:eastAsia="zh-CN" w:bidi="ar-SA"/>
              </w:rPr>
              <w:t>刘卫国</w:t>
            </w:r>
          </w:p>
        </w:tc>
        <w:tc>
          <w:tcPr>
            <w:tcW w:w="2918" w:type="dxa"/>
            <w:tcBorders>
              <w:tl2br w:val="nil"/>
              <w:tr2bl w:val="nil"/>
            </w:tcBorders>
            <w:shd w:val="clear" w:color="auto" w:fill="auto"/>
            <w:noWrap/>
            <w:vAlign w:val="center"/>
          </w:tcPr>
          <w:p w14:paraId="38A9161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51D2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4BBF44E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A5C369D">
            <w:pPr>
              <w:widowControl/>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sz w:val="24"/>
              </w:rPr>
              <w:t>王静</w:t>
            </w:r>
          </w:p>
        </w:tc>
        <w:tc>
          <w:tcPr>
            <w:tcW w:w="2918" w:type="dxa"/>
            <w:tcBorders>
              <w:tl2br w:val="nil"/>
              <w:tr2bl w:val="nil"/>
            </w:tcBorders>
            <w:shd w:val="clear" w:color="auto" w:fill="auto"/>
            <w:noWrap/>
            <w:vAlign w:val="center"/>
          </w:tcPr>
          <w:p w14:paraId="252EC6F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2F88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D09BAD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1431AE7">
            <w:pPr>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5892932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9844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7244E7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2FABF5A0">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4"/>
              </w:rPr>
              <w:t>刘振忠</w:t>
            </w:r>
          </w:p>
        </w:tc>
        <w:tc>
          <w:tcPr>
            <w:tcW w:w="2918" w:type="dxa"/>
            <w:tcBorders>
              <w:tl2br w:val="nil"/>
              <w:tr2bl w:val="nil"/>
            </w:tcBorders>
            <w:shd w:val="clear" w:color="auto" w:fill="auto"/>
            <w:noWrap/>
            <w:vAlign w:val="center"/>
          </w:tcPr>
          <w:p w14:paraId="5F54E61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27B4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776A5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报告编制人</w:t>
            </w:r>
          </w:p>
        </w:tc>
        <w:tc>
          <w:tcPr>
            <w:tcW w:w="4538" w:type="dxa"/>
            <w:gridSpan w:val="2"/>
            <w:tcBorders>
              <w:tl2br w:val="nil"/>
              <w:tr2bl w:val="nil"/>
            </w:tcBorders>
            <w:shd w:val="clear" w:color="auto" w:fill="auto"/>
            <w:noWrap/>
            <w:vAlign w:val="center"/>
          </w:tcPr>
          <w:p w14:paraId="4C20FD2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辛磊</w:t>
            </w:r>
          </w:p>
        </w:tc>
        <w:tc>
          <w:tcPr>
            <w:tcW w:w="2918" w:type="dxa"/>
            <w:tcBorders>
              <w:tl2br w:val="nil"/>
              <w:tr2bl w:val="nil"/>
            </w:tcBorders>
            <w:shd w:val="clear" w:color="auto" w:fill="auto"/>
            <w:noWrap/>
            <w:vAlign w:val="center"/>
          </w:tcPr>
          <w:p w14:paraId="79A2C8F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D33E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943057">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报告审核人</w:t>
            </w:r>
          </w:p>
        </w:tc>
        <w:tc>
          <w:tcPr>
            <w:tcW w:w="4538" w:type="dxa"/>
            <w:gridSpan w:val="2"/>
            <w:tcBorders>
              <w:tl2br w:val="nil"/>
              <w:tr2bl w:val="nil"/>
            </w:tcBorders>
            <w:shd w:val="clear" w:color="auto" w:fill="auto"/>
            <w:noWrap/>
            <w:vAlign w:val="center"/>
          </w:tcPr>
          <w:p w14:paraId="32611B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崔强</w:t>
            </w:r>
          </w:p>
        </w:tc>
        <w:tc>
          <w:tcPr>
            <w:tcW w:w="2918" w:type="dxa"/>
            <w:tcBorders>
              <w:tl2br w:val="nil"/>
              <w:tr2bl w:val="nil"/>
            </w:tcBorders>
            <w:shd w:val="clear" w:color="auto" w:fill="auto"/>
            <w:noWrap/>
            <w:vAlign w:val="center"/>
          </w:tcPr>
          <w:p w14:paraId="5AA1439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BD6F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84A69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过程控制负责人</w:t>
            </w:r>
          </w:p>
        </w:tc>
        <w:tc>
          <w:tcPr>
            <w:tcW w:w="4538" w:type="dxa"/>
            <w:gridSpan w:val="2"/>
            <w:tcBorders>
              <w:tl2br w:val="nil"/>
              <w:tr2bl w:val="nil"/>
            </w:tcBorders>
            <w:shd w:val="clear" w:color="auto" w:fill="auto"/>
            <w:noWrap/>
            <w:vAlign w:val="center"/>
          </w:tcPr>
          <w:p w14:paraId="77C469F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刘云红</w:t>
            </w:r>
          </w:p>
        </w:tc>
        <w:tc>
          <w:tcPr>
            <w:tcW w:w="2918" w:type="dxa"/>
            <w:tcBorders>
              <w:tl2br w:val="nil"/>
              <w:tr2bl w:val="nil"/>
            </w:tcBorders>
            <w:shd w:val="clear" w:color="auto" w:fill="auto"/>
            <w:noWrap/>
            <w:vAlign w:val="center"/>
          </w:tcPr>
          <w:p w14:paraId="6425764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65BA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E51160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技术负责人</w:t>
            </w:r>
          </w:p>
        </w:tc>
        <w:tc>
          <w:tcPr>
            <w:tcW w:w="4538" w:type="dxa"/>
            <w:gridSpan w:val="2"/>
            <w:tcBorders>
              <w:tl2br w:val="nil"/>
              <w:tr2bl w:val="nil"/>
            </w:tcBorders>
            <w:shd w:val="clear" w:color="auto" w:fill="auto"/>
            <w:noWrap/>
            <w:vAlign w:val="center"/>
          </w:tcPr>
          <w:p w14:paraId="412D6BD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孙虎</w:t>
            </w:r>
          </w:p>
        </w:tc>
        <w:tc>
          <w:tcPr>
            <w:tcW w:w="2918" w:type="dxa"/>
            <w:tcBorders>
              <w:tl2br w:val="nil"/>
              <w:tr2bl w:val="nil"/>
            </w:tcBorders>
            <w:shd w:val="clear" w:color="auto" w:fill="auto"/>
            <w:noWrap/>
            <w:vAlign w:val="center"/>
          </w:tcPr>
          <w:p w14:paraId="1A98D6A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1DE88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0ED39F2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技术专家</w:t>
            </w:r>
          </w:p>
          <w:p w14:paraId="54D3B77C">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或有关技术人员</w:t>
            </w:r>
          </w:p>
        </w:tc>
        <w:tc>
          <w:tcPr>
            <w:tcW w:w="4538" w:type="dxa"/>
            <w:gridSpan w:val="2"/>
            <w:tcBorders>
              <w:tl2br w:val="nil"/>
              <w:tr2bl w:val="nil"/>
            </w:tcBorders>
            <w:shd w:val="clear" w:color="auto" w:fill="auto"/>
            <w:noWrap/>
            <w:vAlign w:val="center"/>
          </w:tcPr>
          <w:p w14:paraId="285EDAC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01DE44E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FBF8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25DAA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06D401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66078C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4590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D61292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974AE2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951DB7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B8E1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24AA97A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959ECE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AB2EC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C3EF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373D0D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到现场开展安全</w:t>
            </w:r>
          </w:p>
          <w:p w14:paraId="2F4CEAB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评价工作情况</w:t>
            </w:r>
          </w:p>
        </w:tc>
        <w:tc>
          <w:tcPr>
            <w:tcW w:w="2188" w:type="dxa"/>
            <w:tcBorders>
              <w:tl2br w:val="nil"/>
              <w:tr2bl w:val="nil"/>
            </w:tcBorders>
            <w:shd w:val="clear" w:color="auto" w:fill="auto"/>
            <w:noWrap/>
            <w:vAlign w:val="center"/>
          </w:tcPr>
          <w:p w14:paraId="0DA27BC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  间</w:t>
            </w:r>
          </w:p>
        </w:tc>
        <w:tc>
          <w:tcPr>
            <w:tcW w:w="2350" w:type="dxa"/>
            <w:tcBorders>
              <w:tl2br w:val="nil"/>
              <w:tr2bl w:val="nil"/>
            </w:tcBorders>
            <w:shd w:val="clear" w:color="auto" w:fill="auto"/>
            <w:noWrap/>
            <w:vAlign w:val="center"/>
          </w:tcPr>
          <w:p w14:paraId="1421A71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到现场主要人员</w:t>
            </w:r>
          </w:p>
        </w:tc>
        <w:tc>
          <w:tcPr>
            <w:tcW w:w="2918" w:type="dxa"/>
            <w:tcBorders>
              <w:tl2br w:val="nil"/>
              <w:tr2bl w:val="nil"/>
            </w:tcBorders>
            <w:shd w:val="clear" w:color="auto" w:fill="auto"/>
            <w:noWrap/>
            <w:vAlign w:val="center"/>
          </w:tcPr>
          <w:p w14:paraId="1C92C45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主要任务</w:t>
            </w:r>
          </w:p>
        </w:tc>
      </w:tr>
      <w:tr w14:paraId="6F3AB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EE806A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7E41D2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2023.12.25</w:t>
            </w:r>
          </w:p>
        </w:tc>
        <w:tc>
          <w:tcPr>
            <w:tcW w:w="2350" w:type="dxa"/>
            <w:tcBorders>
              <w:tl2br w:val="nil"/>
              <w:tr2bl w:val="nil"/>
            </w:tcBorders>
            <w:shd w:val="clear" w:color="auto" w:fill="auto"/>
            <w:noWrap/>
            <w:vAlign w:val="center"/>
          </w:tcPr>
          <w:p w14:paraId="2EE280D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E0A453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初访</w:t>
            </w:r>
          </w:p>
        </w:tc>
      </w:tr>
      <w:tr w14:paraId="0AA21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6F5374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54ED758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2024.12.14</w:t>
            </w:r>
          </w:p>
        </w:tc>
        <w:tc>
          <w:tcPr>
            <w:tcW w:w="2350" w:type="dxa"/>
            <w:tcBorders>
              <w:tl2br w:val="nil"/>
              <w:tr2bl w:val="nil"/>
            </w:tcBorders>
            <w:shd w:val="clear" w:color="auto" w:fill="auto"/>
            <w:noWrap/>
            <w:vAlign w:val="center"/>
          </w:tcPr>
          <w:p w14:paraId="73B503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5426880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现场考察</w:t>
            </w:r>
          </w:p>
        </w:tc>
      </w:tr>
      <w:tr w14:paraId="1741F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1432D14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6F20C698">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2024.12.18</w:t>
            </w:r>
          </w:p>
        </w:tc>
        <w:tc>
          <w:tcPr>
            <w:tcW w:w="2350" w:type="dxa"/>
            <w:tcBorders>
              <w:tl2br w:val="nil"/>
              <w:tr2bl w:val="nil"/>
            </w:tcBorders>
            <w:shd w:val="clear" w:color="auto" w:fill="auto"/>
            <w:noWrap/>
            <w:vAlign w:val="center"/>
          </w:tcPr>
          <w:p w14:paraId="04E4ED3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FBD9281">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现场检查</w:t>
            </w:r>
          </w:p>
        </w:tc>
      </w:tr>
      <w:tr w14:paraId="4C41B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A10055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0A09B08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2024.12.20</w:t>
            </w:r>
          </w:p>
        </w:tc>
        <w:tc>
          <w:tcPr>
            <w:tcW w:w="2350" w:type="dxa"/>
            <w:tcBorders>
              <w:tl2br w:val="nil"/>
              <w:tr2bl w:val="nil"/>
            </w:tcBorders>
            <w:shd w:val="clear" w:color="auto" w:fill="auto"/>
            <w:noWrap/>
            <w:vAlign w:val="center"/>
          </w:tcPr>
          <w:p w14:paraId="4C632E3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69E636B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现场核查</w:t>
            </w:r>
          </w:p>
        </w:tc>
      </w:tr>
      <w:tr w14:paraId="756B4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08E1CC7D">
            <w:pPr>
              <w:autoSpaceDE w:val="0"/>
              <w:autoSpaceDN w:val="0"/>
              <w:adjustRightInd w:val="0"/>
              <w:snapToGrid w:val="0"/>
              <w:spacing w:line="240" w:lineRule="auto"/>
              <w:ind w:firstLine="0" w:firstLineChars="0"/>
              <w:jc w:val="left"/>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安全评价报告提交时间：2024.12.30</w:t>
            </w:r>
          </w:p>
        </w:tc>
      </w:tr>
      <w:tr w14:paraId="1FFD0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3D278980">
            <w:pPr>
              <w:autoSpaceDE w:val="0"/>
              <w:autoSpaceDN w:val="0"/>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有必要公开的其它内容：</w:t>
            </w:r>
          </w:p>
        </w:tc>
      </w:tr>
    </w:tbl>
    <w:p w14:paraId="0D38679B">
      <w:pPr>
        <w:pStyle w:val="4"/>
        <w:keepNext w:val="0"/>
        <w:keepLines w:val="0"/>
        <w:pageBreakBefore w:val="0"/>
        <w:widowControl w:val="0"/>
        <w:kinsoku/>
        <w:wordWrap/>
        <w:overflowPunct/>
        <w:topLinePunct w:val="0"/>
        <w:autoSpaceDE/>
        <w:autoSpaceDN/>
        <w:bidi w:val="0"/>
        <w:adjustRightInd w:val="0"/>
        <w:snapToGrid w:val="0"/>
        <w:spacing w:before="312" w:beforeLines="100" w:after="312" w:afterLines="100" w:line="360" w:lineRule="auto"/>
        <w:ind w:firstLine="0"/>
        <w:textAlignment w:val="auto"/>
        <w:rPr>
          <w:rFonts w:hint="eastAsia"/>
          <w:strike w:val="0"/>
          <w:dstrike w:val="0"/>
          <w:color w:val="auto"/>
          <w:highlight w:val="none"/>
        </w:rPr>
      </w:pPr>
      <w:r>
        <w:rPr>
          <w:rFonts w:hint="default" w:ascii="宋体"/>
          <w:color w:val="auto"/>
          <w:kern w:val="0"/>
          <w:sz w:val="28"/>
          <w:szCs w:val="20"/>
          <w:lang w:val="en-US" w:eastAsia="zh-CN"/>
        </w:rPr>
        <w:br w:type="page"/>
      </w:r>
      <w:bookmarkStart w:id="0" w:name="_Toc102634396"/>
      <w:bookmarkStart w:id="1" w:name="_Toc102633970"/>
      <w:bookmarkStart w:id="2" w:name="_Toc30066"/>
      <w:bookmarkStart w:id="3" w:name="_Toc13779"/>
      <w:bookmarkStart w:id="4" w:name="_Toc272364524"/>
      <w:bookmarkStart w:id="5" w:name="_Toc102633896"/>
      <w:bookmarkStart w:id="6" w:name="_Toc26504"/>
      <w:bookmarkStart w:id="7" w:name="_Toc208733856"/>
      <w:bookmarkStart w:id="8" w:name="_Toc15033743"/>
      <w:bookmarkStart w:id="9" w:name="_Toc102634227"/>
      <w:r>
        <w:rPr>
          <w:rFonts w:hint="eastAsia"/>
          <w:strike w:val="0"/>
          <w:dstrike w:val="0"/>
          <w:color w:val="auto"/>
          <w:highlight w:val="none"/>
        </w:rPr>
        <w:t>第一节 加油站基本情况</w:t>
      </w:r>
      <w:bookmarkEnd w:id="0"/>
      <w:bookmarkEnd w:id="1"/>
      <w:bookmarkEnd w:id="2"/>
      <w:bookmarkEnd w:id="3"/>
      <w:bookmarkEnd w:id="4"/>
      <w:bookmarkEnd w:id="5"/>
      <w:bookmarkEnd w:id="6"/>
      <w:bookmarkEnd w:id="7"/>
      <w:bookmarkEnd w:id="8"/>
      <w:bookmarkEnd w:id="9"/>
    </w:p>
    <w:p w14:paraId="4093823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rPr>
          <w:rFonts w:ascii="宋体" w:hAnsi="宋体"/>
          <w:strike w:val="0"/>
          <w:dstrike w:val="0"/>
          <w:color w:val="auto"/>
          <w:sz w:val="28"/>
          <w:szCs w:val="28"/>
          <w:highlight w:val="none"/>
        </w:rPr>
      </w:pPr>
      <w:r>
        <w:rPr>
          <w:rFonts w:hint="eastAsia" w:ascii="宋体" w:hAnsi="宋体"/>
          <w:strike w:val="0"/>
          <w:dstrike w:val="0"/>
          <w:color w:val="auto"/>
          <w:sz w:val="28"/>
          <w:szCs w:val="28"/>
          <w:highlight w:val="none"/>
        </w:rPr>
        <w:t>中国石化山东泰山石油股份有限公司</w:t>
      </w:r>
      <w:r>
        <w:rPr>
          <w:rFonts w:hint="eastAsia" w:ascii="宋体" w:hAnsi="宋体"/>
          <w:strike w:val="0"/>
          <w:dstrike w:val="0"/>
          <w:color w:val="auto"/>
          <w:sz w:val="28"/>
          <w:szCs w:val="28"/>
          <w:highlight w:val="none"/>
          <w:lang w:eastAsia="zh-CN"/>
        </w:rPr>
        <w:t>肥城第二十四加油站</w:t>
      </w:r>
      <w:r>
        <w:rPr>
          <w:rFonts w:hint="eastAsia" w:ascii="宋体" w:hAnsi="宋体"/>
          <w:strike w:val="0"/>
          <w:dstrike w:val="0"/>
          <w:color w:val="auto"/>
          <w:sz w:val="28"/>
          <w:szCs w:val="28"/>
          <w:highlight w:val="none"/>
        </w:rPr>
        <w:t>位于</w:t>
      </w:r>
      <w:r>
        <w:rPr>
          <w:rFonts w:hint="eastAsia" w:ascii="宋体" w:hAnsi="宋体"/>
          <w:strike w:val="0"/>
          <w:dstrike w:val="0"/>
          <w:color w:val="auto"/>
          <w:sz w:val="28"/>
          <w:szCs w:val="28"/>
          <w:highlight w:val="none"/>
          <w:lang w:eastAsia="zh-CN"/>
        </w:rPr>
        <w:t>肥城市边院镇杨庄村</w:t>
      </w:r>
      <w:r>
        <w:rPr>
          <w:rFonts w:hint="eastAsia" w:ascii="宋体" w:hAnsi="宋体" w:cs="宋体"/>
          <w:strike w:val="0"/>
          <w:dstrike w:val="0"/>
          <w:color w:val="auto"/>
          <w:sz w:val="28"/>
          <w:szCs w:val="28"/>
          <w:highlight w:val="none"/>
          <w:lang w:eastAsia="zh-CN"/>
        </w:rPr>
        <w:t>，东</w:t>
      </w:r>
      <w:r>
        <w:rPr>
          <w:rFonts w:hint="eastAsia" w:ascii="宋体" w:hAnsi="宋体" w:cs="宋体"/>
          <w:strike w:val="0"/>
          <w:dstrike w:val="0"/>
          <w:color w:val="auto"/>
          <w:sz w:val="28"/>
          <w:szCs w:val="28"/>
          <w:highlight w:val="none"/>
          <w:lang w:val="en-US" w:eastAsia="zh-CN"/>
        </w:rPr>
        <w:t>南</w:t>
      </w:r>
      <w:r>
        <w:rPr>
          <w:rFonts w:hint="eastAsia" w:ascii="宋体" w:hAnsi="宋体" w:cs="宋体"/>
          <w:strike w:val="0"/>
          <w:dstrike w:val="0"/>
          <w:color w:val="auto"/>
          <w:sz w:val="28"/>
          <w:szCs w:val="28"/>
          <w:highlight w:val="none"/>
          <w:lang w:eastAsia="zh-CN"/>
        </w:rPr>
        <w:t>侧是</w:t>
      </w:r>
      <w:r>
        <w:rPr>
          <w:rFonts w:hint="eastAsia" w:ascii="宋体" w:hAnsi="宋体" w:cs="宋体"/>
          <w:strike w:val="0"/>
          <w:dstrike w:val="0"/>
          <w:color w:val="auto"/>
          <w:sz w:val="28"/>
          <w:szCs w:val="28"/>
          <w:highlight w:val="none"/>
          <w:lang w:val="en-US" w:eastAsia="zh-CN"/>
        </w:rPr>
        <w:t>空地</w:t>
      </w:r>
      <w:r>
        <w:rPr>
          <w:rFonts w:hint="eastAsia" w:ascii="宋体" w:hAnsi="宋体" w:cs="宋体"/>
          <w:strike w:val="0"/>
          <w:dstrike w:val="0"/>
          <w:color w:val="auto"/>
          <w:sz w:val="28"/>
          <w:szCs w:val="28"/>
          <w:highlight w:val="none"/>
          <w:lang w:eastAsia="zh-CN"/>
        </w:rPr>
        <w:t>，西</w:t>
      </w:r>
      <w:r>
        <w:rPr>
          <w:rFonts w:hint="eastAsia" w:ascii="宋体" w:hAnsi="宋体" w:cs="宋体"/>
          <w:strike w:val="0"/>
          <w:dstrike w:val="0"/>
          <w:color w:val="auto"/>
          <w:sz w:val="28"/>
          <w:szCs w:val="28"/>
          <w:highlight w:val="none"/>
          <w:lang w:val="en-US" w:eastAsia="zh-CN"/>
        </w:rPr>
        <w:t>北</w:t>
      </w:r>
      <w:r>
        <w:rPr>
          <w:rFonts w:hint="eastAsia" w:ascii="宋体" w:hAnsi="宋体" w:cs="宋体"/>
          <w:strike w:val="0"/>
          <w:dstrike w:val="0"/>
          <w:color w:val="auto"/>
          <w:sz w:val="28"/>
          <w:szCs w:val="28"/>
          <w:highlight w:val="none"/>
          <w:lang w:eastAsia="zh-CN"/>
        </w:rPr>
        <w:t>侧是</w:t>
      </w:r>
      <w:r>
        <w:rPr>
          <w:rFonts w:hint="eastAsia" w:ascii="宋体" w:hAnsi="宋体" w:cs="宋体"/>
          <w:strike w:val="0"/>
          <w:dstrike w:val="0"/>
          <w:color w:val="auto"/>
          <w:sz w:val="28"/>
          <w:szCs w:val="28"/>
          <w:highlight w:val="none"/>
          <w:lang w:val="en-US" w:eastAsia="zh-CN"/>
        </w:rPr>
        <w:t>S326省道</w:t>
      </w:r>
      <w:r>
        <w:rPr>
          <w:rFonts w:hint="eastAsia" w:ascii="宋体" w:hAnsi="宋体" w:cs="宋体"/>
          <w:strike w:val="0"/>
          <w:dstrike w:val="0"/>
          <w:color w:val="auto"/>
          <w:sz w:val="28"/>
          <w:szCs w:val="28"/>
          <w:highlight w:val="none"/>
          <w:lang w:eastAsia="zh-CN"/>
        </w:rPr>
        <w:t>，</w:t>
      </w:r>
      <w:r>
        <w:rPr>
          <w:rFonts w:hint="eastAsia" w:ascii="宋体" w:hAnsi="宋体" w:cs="宋体"/>
          <w:strike w:val="0"/>
          <w:dstrike w:val="0"/>
          <w:color w:val="auto"/>
          <w:sz w:val="28"/>
          <w:szCs w:val="28"/>
          <w:highlight w:val="none"/>
          <w:lang w:val="en-US" w:eastAsia="zh-CN"/>
        </w:rPr>
        <w:t>东北侧是空地，西</w:t>
      </w:r>
      <w:r>
        <w:rPr>
          <w:rFonts w:hint="eastAsia" w:ascii="宋体" w:hAnsi="宋体" w:cs="宋体"/>
          <w:strike w:val="0"/>
          <w:dstrike w:val="0"/>
          <w:color w:val="auto"/>
          <w:sz w:val="28"/>
          <w:szCs w:val="28"/>
          <w:highlight w:val="none"/>
          <w:lang w:eastAsia="zh-CN"/>
        </w:rPr>
        <w:t>南侧是</w:t>
      </w:r>
      <w:r>
        <w:rPr>
          <w:rFonts w:hint="eastAsia" w:ascii="宋体" w:hAnsi="宋体" w:cs="宋体"/>
          <w:strike w:val="0"/>
          <w:dstrike w:val="0"/>
          <w:color w:val="auto"/>
          <w:sz w:val="28"/>
          <w:szCs w:val="28"/>
          <w:highlight w:val="none"/>
          <w:lang w:val="en-US" w:eastAsia="zh-CN"/>
        </w:rPr>
        <w:t>民房</w:t>
      </w:r>
      <w:r>
        <w:rPr>
          <w:rFonts w:hint="eastAsia" w:ascii="宋体" w:hAnsi="宋体" w:cs="宋体"/>
          <w:strike w:val="0"/>
          <w:dstrike w:val="0"/>
          <w:color w:val="auto"/>
          <w:sz w:val="28"/>
          <w:szCs w:val="28"/>
          <w:highlight w:val="none"/>
        </w:rPr>
        <w:t>。</w:t>
      </w:r>
      <w:r>
        <w:rPr>
          <w:rFonts w:hint="eastAsia" w:ascii="宋体" w:hAnsi="宋体"/>
          <w:strike w:val="0"/>
          <w:dstrike w:val="0"/>
          <w:color w:val="auto"/>
          <w:sz w:val="28"/>
          <w:szCs w:val="28"/>
          <w:highlight w:val="none"/>
        </w:rPr>
        <w:t>该站经营许可范围为</w:t>
      </w:r>
      <w:r>
        <w:rPr>
          <w:rFonts w:hint="eastAsia" w:ascii="宋体" w:hAnsi="宋体"/>
          <w:strike w:val="0"/>
          <w:dstrike w:val="0"/>
          <w:color w:val="auto"/>
          <w:sz w:val="28"/>
          <w:szCs w:val="28"/>
          <w:highlight w:val="none"/>
          <w:lang w:eastAsia="zh-CN"/>
        </w:rPr>
        <w:t>汽油、乙醇汽油、</w:t>
      </w:r>
      <w:r>
        <w:rPr>
          <w:rFonts w:hint="eastAsia" w:ascii="宋体" w:hAnsi="宋体"/>
          <w:strike w:val="0"/>
          <w:dstrike w:val="0"/>
          <w:color w:val="auto"/>
          <w:sz w:val="28"/>
          <w:szCs w:val="28"/>
          <w:highlight w:val="none"/>
          <w:lang w:val="en-US" w:eastAsia="zh-CN"/>
        </w:rPr>
        <w:t>柴油</w:t>
      </w:r>
      <w:r>
        <w:rPr>
          <w:rFonts w:hint="eastAsia" w:ascii="宋体" w:hAnsi="宋体"/>
          <w:strike w:val="0"/>
          <w:dstrike w:val="0"/>
          <w:color w:val="auto"/>
          <w:sz w:val="28"/>
          <w:szCs w:val="28"/>
          <w:highlight w:val="none"/>
        </w:rPr>
        <w:t>，现其主要经营</w:t>
      </w:r>
      <w:r>
        <w:rPr>
          <w:rFonts w:hint="eastAsia" w:ascii="宋体" w:hAnsi="宋体"/>
          <w:strike w:val="0"/>
          <w:dstrike w:val="0"/>
          <w:color w:val="auto"/>
          <w:sz w:val="28"/>
          <w:szCs w:val="28"/>
          <w:highlight w:val="none"/>
          <w:lang w:val="en-US" w:eastAsia="zh-CN"/>
        </w:rPr>
        <w:t>储存</w:t>
      </w:r>
      <w:r>
        <w:rPr>
          <w:rFonts w:hint="eastAsia" w:ascii="宋体" w:hAnsi="宋体"/>
          <w:strike w:val="0"/>
          <w:dstrike w:val="0"/>
          <w:color w:val="auto"/>
          <w:sz w:val="28"/>
          <w:szCs w:val="28"/>
          <w:highlight w:val="none"/>
          <w:lang w:eastAsia="zh-CN"/>
        </w:rPr>
        <w:t>汽油、</w:t>
      </w:r>
      <w:r>
        <w:rPr>
          <w:rFonts w:hint="eastAsia" w:ascii="宋体" w:hAnsi="宋体"/>
          <w:strike w:val="0"/>
          <w:dstrike w:val="0"/>
          <w:color w:val="auto"/>
          <w:sz w:val="28"/>
          <w:szCs w:val="28"/>
          <w:highlight w:val="none"/>
          <w:lang w:val="en-US" w:eastAsia="zh-CN"/>
        </w:rPr>
        <w:t>乙醇汽油，柴油</w:t>
      </w:r>
      <w:r>
        <w:rPr>
          <w:rFonts w:hint="eastAsia" w:ascii="宋体" w:hAnsi="宋体"/>
          <w:strike w:val="0"/>
          <w:dstrike w:val="0"/>
          <w:color w:val="auto"/>
          <w:sz w:val="28"/>
          <w:szCs w:val="28"/>
          <w:highlight w:val="none"/>
        </w:rPr>
        <w:t>。此次现状评价报告与三年前报告相比</w:t>
      </w:r>
      <w:r>
        <w:rPr>
          <w:rFonts w:hint="eastAsia" w:ascii="宋体" w:hAnsi="宋体"/>
          <w:strike w:val="0"/>
          <w:dstrike w:val="0"/>
          <w:color w:val="auto"/>
          <w:sz w:val="28"/>
          <w:szCs w:val="28"/>
          <w:highlight w:val="none"/>
          <w:lang w:eastAsia="zh-CN"/>
        </w:rPr>
        <w:t>，</w:t>
      </w:r>
      <w:r>
        <w:rPr>
          <w:rFonts w:hint="eastAsia" w:ascii="宋体" w:hAnsi="宋体"/>
          <w:strike w:val="0"/>
          <w:dstrike w:val="0"/>
          <w:color w:val="auto"/>
          <w:sz w:val="28"/>
          <w:szCs w:val="28"/>
          <w:highlight w:val="none"/>
          <w:lang w:val="en-US" w:eastAsia="zh-CN"/>
        </w:rPr>
        <w:t>汽油加油机处新增可燃气体探测器1套，在原址更换汽油加油机1台，其余</w:t>
      </w:r>
      <w:r>
        <w:rPr>
          <w:rFonts w:hint="eastAsia" w:ascii="宋体" w:hAnsi="宋体"/>
          <w:strike w:val="0"/>
          <w:dstrike w:val="0"/>
          <w:color w:val="auto"/>
          <w:sz w:val="28"/>
          <w:szCs w:val="28"/>
          <w:highlight w:val="none"/>
        </w:rPr>
        <w:t>周边环境、站内设备设施、主要建构筑物未发生变化。</w:t>
      </w:r>
    </w:p>
    <w:p w14:paraId="19825CD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rPr>
          <w:rFonts w:ascii="宋体"/>
          <w:strike w:val="0"/>
          <w:dstrike w:val="0"/>
          <w:color w:val="auto"/>
          <w:highlight w:val="none"/>
          <w:vertAlign w:val="superscript"/>
        </w:rPr>
      </w:pPr>
      <w:r>
        <w:rPr>
          <w:rFonts w:hint="eastAsia" w:ascii="宋体" w:hAnsi="宋体"/>
          <w:strike w:val="0"/>
          <w:dstrike w:val="0"/>
          <w:color w:val="auto"/>
          <w:sz w:val="28"/>
          <w:szCs w:val="28"/>
          <w:highlight w:val="none"/>
        </w:rPr>
        <w:t>该加油站主要建有站房、罩棚、油罐区、加油区等。加油区在站房</w:t>
      </w:r>
      <w:r>
        <w:rPr>
          <w:rFonts w:hint="eastAsia" w:ascii="宋体" w:hAnsi="宋体"/>
          <w:strike w:val="0"/>
          <w:dstrike w:val="0"/>
          <w:color w:val="auto"/>
          <w:sz w:val="28"/>
          <w:szCs w:val="28"/>
          <w:highlight w:val="none"/>
          <w:lang w:val="en-US" w:eastAsia="zh-CN"/>
        </w:rPr>
        <w:t>西北</w:t>
      </w:r>
      <w:r>
        <w:rPr>
          <w:rFonts w:hint="eastAsia" w:ascii="宋体" w:hAnsi="宋体"/>
          <w:strike w:val="0"/>
          <w:dstrike w:val="0"/>
          <w:color w:val="auto"/>
          <w:sz w:val="28"/>
          <w:szCs w:val="28"/>
          <w:highlight w:val="none"/>
        </w:rPr>
        <w:t>侧，现有</w:t>
      </w:r>
      <w:r>
        <w:rPr>
          <w:rFonts w:hint="eastAsia" w:ascii="宋体" w:hAnsi="宋体"/>
          <w:strike w:val="0"/>
          <w:dstrike w:val="0"/>
          <w:color w:val="auto"/>
          <w:sz w:val="28"/>
          <w:szCs w:val="28"/>
          <w:highlight w:val="none"/>
          <w:lang w:val="en-US" w:eastAsia="zh-CN"/>
        </w:rPr>
        <w:t>2</w:t>
      </w:r>
      <w:r>
        <w:rPr>
          <w:rFonts w:hint="eastAsia" w:ascii="宋体" w:hAnsi="宋体"/>
          <w:strike w:val="0"/>
          <w:dstrike w:val="0"/>
          <w:color w:val="auto"/>
          <w:sz w:val="28"/>
          <w:szCs w:val="28"/>
          <w:highlight w:val="none"/>
        </w:rPr>
        <w:t>台</w:t>
      </w:r>
      <w:r>
        <w:rPr>
          <w:rFonts w:hint="eastAsia" w:ascii="宋体" w:hAnsi="宋体"/>
          <w:strike w:val="0"/>
          <w:dstrike w:val="0"/>
          <w:color w:val="auto"/>
          <w:sz w:val="28"/>
          <w:szCs w:val="28"/>
          <w:highlight w:val="none"/>
          <w:lang w:val="en-US" w:eastAsia="zh-CN"/>
        </w:rPr>
        <w:t>双</w:t>
      </w:r>
      <w:r>
        <w:rPr>
          <w:rFonts w:hint="eastAsia" w:ascii="宋体" w:hAnsi="宋体"/>
          <w:strike w:val="0"/>
          <w:dstrike w:val="0"/>
          <w:color w:val="auto"/>
          <w:sz w:val="28"/>
          <w:szCs w:val="28"/>
          <w:highlight w:val="none"/>
        </w:rPr>
        <w:t>枪加油机</w:t>
      </w:r>
      <w:r>
        <w:rPr>
          <w:rFonts w:hint="eastAsia" w:ascii="宋体" w:hAnsi="宋体"/>
          <w:strike w:val="0"/>
          <w:dstrike w:val="0"/>
          <w:color w:val="auto"/>
          <w:sz w:val="28"/>
          <w:szCs w:val="28"/>
          <w:highlight w:val="none"/>
          <w:lang w:eastAsia="zh-CN"/>
        </w:rPr>
        <w:t>（</w:t>
      </w:r>
      <w:r>
        <w:rPr>
          <w:rFonts w:hint="eastAsia" w:ascii="宋体" w:hAnsi="宋体"/>
          <w:strike w:val="0"/>
          <w:dstrike w:val="0"/>
          <w:color w:val="auto"/>
          <w:sz w:val="28"/>
          <w:szCs w:val="28"/>
          <w:highlight w:val="none"/>
          <w:lang w:val="en-US" w:eastAsia="zh-CN"/>
        </w:rPr>
        <w:t>1台柴油加油机，1台92#乙醇汽油/95#汽油加油机</w:t>
      </w:r>
      <w:r>
        <w:rPr>
          <w:rFonts w:hint="eastAsia" w:ascii="宋体" w:hAnsi="宋体"/>
          <w:strike w:val="0"/>
          <w:dstrike w:val="0"/>
          <w:color w:val="auto"/>
          <w:sz w:val="28"/>
          <w:szCs w:val="28"/>
          <w:highlight w:val="none"/>
          <w:lang w:eastAsia="zh-CN"/>
        </w:rPr>
        <w:t>）</w:t>
      </w:r>
      <w:r>
        <w:rPr>
          <w:rFonts w:hint="eastAsia" w:ascii="宋体" w:hAnsi="宋体"/>
          <w:strike w:val="0"/>
          <w:dstrike w:val="0"/>
          <w:color w:val="auto"/>
          <w:sz w:val="28"/>
          <w:szCs w:val="28"/>
          <w:highlight w:val="none"/>
        </w:rPr>
        <w:t>，均为</w:t>
      </w:r>
      <w:r>
        <w:rPr>
          <w:rFonts w:hint="eastAsia" w:ascii="宋体" w:hAnsi="宋体"/>
          <w:strike w:val="0"/>
          <w:dstrike w:val="0"/>
          <w:color w:val="auto"/>
          <w:sz w:val="28"/>
          <w:szCs w:val="28"/>
          <w:highlight w:val="none"/>
          <w:lang w:val="en-US" w:eastAsia="zh-CN"/>
        </w:rPr>
        <w:t>自吸</w:t>
      </w:r>
      <w:r>
        <w:rPr>
          <w:rFonts w:hint="eastAsia" w:ascii="宋体" w:hAnsi="宋体"/>
          <w:strike w:val="0"/>
          <w:dstrike w:val="0"/>
          <w:color w:val="auto"/>
          <w:sz w:val="28"/>
          <w:szCs w:val="28"/>
          <w:highlight w:val="none"/>
        </w:rPr>
        <w:t>式；油罐区位于</w:t>
      </w:r>
      <w:r>
        <w:rPr>
          <w:rFonts w:hint="eastAsia" w:ascii="宋体" w:hAnsi="宋体"/>
          <w:strike w:val="0"/>
          <w:dstrike w:val="0"/>
          <w:color w:val="auto"/>
          <w:sz w:val="28"/>
          <w:szCs w:val="28"/>
          <w:highlight w:val="none"/>
          <w:lang w:val="en-US" w:eastAsia="zh-CN"/>
        </w:rPr>
        <w:t>加油区西北</w:t>
      </w:r>
      <w:r>
        <w:rPr>
          <w:rFonts w:hint="eastAsia" w:ascii="宋体" w:hAnsi="宋体"/>
          <w:strike w:val="0"/>
          <w:dstrike w:val="0"/>
          <w:color w:val="auto"/>
          <w:sz w:val="28"/>
          <w:szCs w:val="28"/>
          <w:highlight w:val="none"/>
        </w:rPr>
        <w:t>侧，现有</w:t>
      </w:r>
      <w:r>
        <w:rPr>
          <w:rFonts w:hint="eastAsia" w:ascii="宋体" w:hAnsi="宋体"/>
          <w:strike w:val="0"/>
          <w:dstrike w:val="0"/>
          <w:color w:val="auto"/>
          <w:sz w:val="28"/>
          <w:szCs w:val="28"/>
          <w:highlight w:val="none"/>
          <w:lang w:val="en-US" w:eastAsia="zh-CN"/>
        </w:rPr>
        <w:t>3</w:t>
      </w:r>
      <w:r>
        <w:rPr>
          <w:rFonts w:hint="eastAsia" w:ascii="宋体" w:hAnsi="宋体"/>
          <w:strike w:val="0"/>
          <w:dstrike w:val="0"/>
          <w:color w:val="auto"/>
          <w:sz w:val="28"/>
          <w:szCs w:val="28"/>
          <w:highlight w:val="none"/>
        </w:rPr>
        <w:t>台</w:t>
      </w:r>
      <w:r>
        <w:rPr>
          <w:rFonts w:hint="eastAsia" w:ascii="宋体" w:hAnsi="宋体"/>
          <w:strike w:val="0"/>
          <w:dstrike w:val="0"/>
          <w:color w:val="auto"/>
          <w:sz w:val="28"/>
          <w:szCs w:val="28"/>
          <w:highlight w:val="none"/>
          <w:lang w:val="en-US" w:eastAsia="zh-CN"/>
        </w:rPr>
        <w:t>3</w:t>
      </w:r>
      <w:r>
        <w:rPr>
          <w:rFonts w:hint="eastAsia" w:ascii="宋体" w:hAnsi="宋体"/>
          <w:strike w:val="0"/>
          <w:dstrike w:val="0"/>
          <w:color w:val="auto"/>
          <w:sz w:val="28"/>
          <w:szCs w:val="28"/>
          <w:highlight w:val="none"/>
        </w:rPr>
        <w:t>0m³埋地双层储罐（1台92#</w:t>
      </w:r>
      <w:r>
        <w:rPr>
          <w:rFonts w:hint="eastAsia" w:ascii="宋体" w:hAnsi="宋体"/>
          <w:strike w:val="0"/>
          <w:dstrike w:val="0"/>
          <w:color w:val="auto"/>
          <w:sz w:val="28"/>
          <w:szCs w:val="28"/>
          <w:highlight w:val="none"/>
          <w:lang w:val="en-US" w:eastAsia="zh-CN"/>
        </w:rPr>
        <w:t>乙醇</w:t>
      </w:r>
      <w:r>
        <w:rPr>
          <w:rFonts w:hint="eastAsia" w:ascii="宋体" w:hAnsi="宋体"/>
          <w:strike w:val="0"/>
          <w:dstrike w:val="0"/>
          <w:color w:val="auto"/>
          <w:sz w:val="28"/>
          <w:szCs w:val="28"/>
          <w:highlight w:val="none"/>
          <w:lang w:eastAsia="zh-CN"/>
        </w:rPr>
        <w:t>汽油</w:t>
      </w:r>
      <w:r>
        <w:rPr>
          <w:rFonts w:hint="eastAsia" w:ascii="宋体" w:hAnsi="宋体"/>
          <w:strike w:val="0"/>
          <w:dstrike w:val="0"/>
          <w:color w:val="auto"/>
          <w:sz w:val="28"/>
          <w:szCs w:val="28"/>
          <w:highlight w:val="none"/>
        </w:rPr>
        <w:t>罐、1台95#</w:t>
      </w:r>
      <w:r>
        <w:rPr>
          <w:rFonts w:hint="eastAsia" w:ascii="宋体" w:hAnsi="宋体"/>
          <w:strike w:val="0"/>
          <w:dstrike w:val="0"/>
          <w:color w:val="auto"/>
          <w:sz w:val="28"/>
          <w:szCs w:val="28"/>
          <w:highlight w:val="none"/>
          <w:lang w:eastAsia="zh-CN"/>
        </w:rPr>
        <w:t>汽油</w:t>
      </w:r>
      <w:r>
        <w:rPr>
          <w:rFonts w:hint="eastAsia" w:ascii="宋体" w:hAnsi="宋体"/>
          <w:strike w:val="0"/>
          <w:dstrike w:val="0"/>
          <w:color w:val="auto"/>
          <w:sz w:val="28"/>
          <w:szCs w:val="28"/>
          <w:highlight w:val="none"/>
          <w:lang w:val="en-US" w:eastAsia="zh-CN"/>
        </w:rPr>
        <w:t>罐</w:t>
      </w:r>
      <w:r>
        <w:rPr>
          <w:rFonts w:hint="eastAsia" w:ascii="宋体" w:hAnsi="宋体"/>
          <w:strike w:val="0"/>
          <w:dstrike w:val="0"/>
          <w:color w:val="auto"/>
          <w:sz w:val="28"/>
          <w:szCs w:val="28"/>
          <w:highlight w:val="none"/>
        </w:rPr>
        <w:t>、1台</w:t>
      </w:r>
      <w:r>
        <w:rPr>
          <w:rFonts w:hint="eastAsia" w:ascii="宋体" w:hAnsi="宋体"/>
          <w:strike w:val="0"/>
          <w:dstrike w:val="0"/>
          <w:color w:val="auto"/>
          <w:sz w:val="28"/>
          <w:szCs w:val="28"/>
          <w:highlight w:val="none"/>
          <w:lang w:val="en-US" w:eastAsia="zh-CN"/>
        </w:rPr>
        <w:t>柴油罐</w:t>
      </w:r>
      <w:r>
        <w:rPr>
          <w:rFonts w:hint="eastAsia" w:ascii="宋体" w:hAnsi="宋体"/>
          <w:strike w:val="0"/>
          <w:dstrike w:val="0"/>
          <w:color w:val="auto"/>
          <w:sz w:val="28"/>
          <w:szCs w:val="28"/>
          <w:highlight w:val="none"/>
        </w:rPr>
        <w:t>），</w:t>
      </w:r>
      <w:r>
        <w:rPr>
          <w:rFonts w:hint="eastAsia" w:ascii="宋体" w:hAnsi="宋体"/>
          <w:strike w:val="0"/>
          <w:dstrike w:val="0"/>
          <w:color w:val="auto"/>
          <w:sz w:val="28"/>
          <w:szCs w:val="28"/>
          <w:highlight w:val="none"/>
          <w:lang w:val="en-US" w:eastAsia="zh-CN"/>
        </w:rPr>
        <w:t>3</w:t>
      </w:r>
      <w:r>
        <w:rPr>
          <w:rFonts w:hint="eastAsia" w:ascii="宋体" w:hAnsi="宋体"/>
          <w:strike w:val="0"/>
          <w:dstrike w:val="0"/>
          <w:color w:val="auto"/>
          <w:sz w:val="28"/>
          <w:szCs w:val="28"/>
          <w:highlight w:val="none"/>
        </w:rPr>
        <w:t>台油罐均安装了液位仪、检漏仪；卸油口位于罐区</w:t>
      </w:r>
      <w:r>
        <w:rPr>
          <w:rFonts w:hint="eastAsia" w:ascii="宋体" w:hAnsi="宋体"/>
          <w:strike w:val="0"/>
          <w:dstrike w:val="0"/>
          <w:color w:val="auto"/>
          <w:sz w:val="28"/>
          <w:szCs w:val="28"/>
          <w:highlight w:val="none"/>
          <w:lang w:val="en-US" w:eastAsia="zh-CN"/>
        </w:rPr>
        <w:t>东南</w:t>
      </w:r>
      <w:r>
        <w:rPr>
          <w:rFonts w:hint="eastAsia" w:ascii="宋体" w:hAnsi="宋体"/>
          <w:strike w:val="0"/>
          <w:dstrike w:val="0"/>
          <w:color w:val="auto"/>
          <w:sz w:val="28"/>
          <w:szCs w:val="28"/>
          <w:highlight w:val="none"/>
        </w:rPr>
        <w:t>侧；通气管</w:t>
      </w:r>
      <w:r>
        <w:rPr>
          <w:rFonts w:hint="eastAsia" w:ascii="宋体" w:hAnsi="宋体"/>
          <w:strike w:val="0"/>
          <w:dstrike w:val="0"/>
          <w:color w:val="auto"/>
          <w:sz w:val="28"/>
          <w:szCs w:val="28"/>
          <w:highlight w:val="none"/>
          <w:lang w:val="en-US" w:eastAsia="zh-CN"/>
        </w:rPr>
        <w:t>4</w:t>
      </w:r>
      <w:r>
        <w:rPr>
          <w:rFonts w:hint="eastAsia" w:ascii="宋体" w:hAnsi="宋体"/>
          <w:strike w:val="0"/>
          <w:dstrike w:val="0"/>
          <w:color w:val="auto"/>
          <w:sz w:val="28"/>
          <w:szCs w:val="28"/>
          <w:highlight w:val="none"/>
        </w:rPr>
        <w:t>根，该站设有卸油油气回收系统、加油油气回收系统</w:t>
      </w:r>
      <w:r>
        <w:rPr>
          <w:rFonts w:hint="eastAsia" w:ascii="宋体" w:hAnsi="宋体"/>
          <w:strike w:val="0"/>
          <w:dstrike w:val="0"/>
          <w:color w:val="auto"/>
          <w:sz w:val="28"/>
          <w:szCs w:val="28"/>
          <w:highlight w:val="none"/>
          <w:lang w:val="en-US" w:eastAsia="zh-CN"/>
        </w:rPr>
        <w:t>及油气回收处理装置</w:t>
      </w:r>
      <w:r>
        <w:rPr>
          <w:rFonts w:hint="eastAsia" w:ascii="宋体" w:hAnsi="宋体"/>
          <w:strike w:val="0"/>
          <w:dstrike w:val="0"/>
          <w:color w:val="auto"/>
          <w:sz w:val="28"/>
          <w:szCs w:val="28"/>
          <w:highlight w:val="none"/>
        </w:rPr>
        <w:t>；按《汽车加油加气加氢站技术标准》GB50156-2021标准规定：油罐总储量为</w:t>
      </w:r>
      <w:r>
        <w:rPr>
          <w:rFonts w:hint="eastAsia" w:ascii="宋体" w:hAnsi="宋体"/>
          <w:strike w:val="0"/>
          <w:dstrike w:val="0"/>
          <w:color w:val="auto"/>
          <w:sz w:val="28"/>
          <w:szCs w:val="28"/>
          <w:highlight w:val="none"/>
          <w:lang w:val="en-US" w:eastAsia="zh-CN"/>
        </w:rPr>
        <w:t>90</w:t>
      </w:r>
      <w:r>
        <w:rPr>
          <w:rFonts w:hint="eastAsia" w:ascii="宋体" w:hAnsi="宋体"/>
          <w:strike w:val="0"/>
          <w:dstrike w:val="0"/>
          <w:color w:val="auto"/>
          <w:sz w:val="28"/>
          <w:szCs w:val="28"/>
          <w:highlight w:val="none"/>
        </w:rPr>
        <w:t>m³，柴油储罐容积折半计入总容积为</w:t>
      </w:r>
      <w:r>
        <w:rPr>
          <w:rFonts w:hint="eastAsia" w:ascii="宋体" w:hAnsi="宋体"/>
          <w:strike w:val="0"/>
          <w:dstrike w:val="0"/>
          <w:color w:val="auto"/>
          <w:sz w:val="28"/>
          <w:szCs w:val="28"/>
          <w:highlight w:val="none"/>
          <w:lang w:val="en-US" w:eastAsia="zh-CN"/>
        </w:rPr>
        <w:t>75</w:t>
      </w:r>
      <w:r>
        <w:rPr>
          <w:rFonts w:hint="eastAsia" w:ascii="宋体" w:hAnsi="宋体"/>
          <w:strike w:val="0"/>
          <w:dstrike w:val="0"/>
          <w:color w:val="auto"/>
          <w:sz w:val="28"/>
          <w:szCs w:val="28"/>
          <w:highlight w:val="none"/>
        </w:rPr>
        <w:t>m³，该站属三级加油站。</w:t>
      </w:r>
    </w:p>
    <w:p w14:paraId="39A305A9">
      <w:pPr>
        <w:pStyle w:val="17"/>
        <w:keepLines w:val="0"/>
        <w:widowControl w:val="0"/>
        <w:wordWrap/>
        <w:overflowPunct/>
        <w:topLinePunct w:val="0"/>
        <w:bidi w:val="0"/>
        <w:adjustRightInd w:val="0"/>
        <w:snapToGrid w:val="0"/>
        <w:spacing w:line="360" w:lineRule="auto"/>
        <w:outlineLvl w:val="9"/>
        <w:rPr>
          <w:strike w:val="0"/>
          <w:dstrike w:val="0"/>
          <w:color w:val="auto"/>
          <w:highlight w:val="none"/>
        </w:rPr>
      </w:pPr>
      <w:r>
        <w:rPr>
          <w:strike w:val="0"/>
          <w:dstrike w:val="0"/>
          <w:color w:val="auto"/>
          <w:highlight w:val="none"/>
        </w:rPr>
        <w:t>表</w:t>
      </w:r>
      <w:r>
        <w:rPr>
          <w:rFonts w:ascii="黑体" w:hAnsi="黑体"/>
          <w:strike w:val="0"/>
          <w:dstrike w:val="0"/>
          <w:color w:val="auto"/>
          <w:highlight w:val="none"/>
        </w:rPr>
        <w:t xml:space="preserve">2.1-1 </w:t>
      </w:r>
      <w:r>
        <w:rPr>
          <w:strike w:val="0"/>
          <w:dstrike w:val="0"/>
          <w:color w:val="auto"/>
          <w:highlight w:val="none"/>
        </w:rPr>
        <w:t>加油站的等级划分</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87"/>
        <w:gridCol w:w="3097"/>
        <w:gridCol w:w="3104"/>
      </w:tblGrid>
      <w:tr w14:paraId="636D5E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restart"/>
            <w:vAlign w:val="center"/>
          </w:tcPr>
          <w:p w14:paraId="5FEF54F4">
            <w:pPr>
              <w:pStyle w:val="18"/>
              <w:keepLines w:val="0"/>
              <w:widowControl w:val="0"/>
              <w:wordWrap/>
              <w:overflowPunct/>
              <w:topLinePunct w:val="0"/>
              <w:bidi w:val="0"/>
              <w:adjustRightInd w:val="0"/>
              <w:snapToGrid w:val="0"/>
              <w:spacing w:line="360" w:lineRule="auto"/>
              <w:rPr>
                <w:rFonts w:ascii="宋体" w:hAnsi="宋体"/>
                <w:b/>
                <w:bCs/>
                <w:strike w:val="0"/>
                <w:dstrike w:val="0"/>
                <w:color w:val="auto"/>
                <w:highlight w:val="none"/>
              </w:rPr>
            </w:pPr>
            <w:r>
              <w:rPr>
                <w:rFonts w:ascii="宋体" w:hAnsi="宋体"/>
                <w:b/>
                <w:bCs/>
                <w:strike w:val="0"/>
                <w:dstrike w:val="0"/>
                <w:color w:val="auto"/>
                <w:highlight w:val="none"/>
              </w:rPr>
              <w:t>加油站</w:t>
            </w:r>
            <w:r>
              <w:rPr>
                <w:rFonts w:hint="eastAsia" w:ascii="宋体" w:hAnsi="宋体"/>
                <w:b/>
                <w:bCs/>
                <w:strike w:val="0"/>
                <w:dstrike w:val="0"/>
                <w:color w:val="auto"/>
                <w:highlight w:val="none"/>
              </w:rPr>
              <w:t>等级</w:t>
            </w:r>
          </w:p>
        </w:tc>
        <w:tc>
          <w:tcPr>
            <w:tcW w:w="3338" w:type="pct"/>
            <w:gridSpan w:val="2"/>
            <w:vAlign w:val="center"/>
          </w:tcPr>
          <w:p w14:paraId="2A379718">
            <w:pPr>
              <w:pStyle w:val="18"/>
              <w:keepLines w:val="0"/>
              <w:widowControl w:val="0"/>
              <w:wordWrap/>
              <w:overflowPunct/>
              <w:topLinePunct w:val="0"/>
              <w:bidi w:val="0"/>
              <w:adjustRightInd w:val="0"/>
              <w:snapToGrid w:val="0"/>
              <w:spacing w:line="360" w:lineRule="auto"/>
              <w:rPr>
                <w:rFonts w:ascii="宋体" w:hAnsi="宋体"/>
                <w:b/>
                <w:bCs/>
                <w:strike w:val="0"/>
                <w:dstrike w:val="0"/>
                <w:color w:val="auto"/>
                <w:highlight w:val="none"/>
              </w:rPr>
            </w:pPr>
            <w:r>
              <w:rPr>
                <w:rFonts w:ascii="宋体" w:hAnsi="宋体"/>
                <w:b/>
                <w:bCs/>
                <w:strike w:val="0"/>
                <w:dstrike w:val="0"/>
                <w:color w:val="auto"/>
                <w:highlight w:val="none"/>
              </w:rPr>
              <w:t>加油站油罐容积（m</w:t>
            </w:r>
            <w:r>
              <w:rPr>
                <w:rFonts w:ascii="宋体" w:hAnsi="宋体"/>
                <w:b/>
                <w:bCs/>
                <w:strike w:val="0"/>
                <w:dstrike w:val="0"/>
                <w:color w:val="auto"/>
                <w:highlight w:val="none"/>
                <w:vertAlign w:val="superscript"/>
              </w:rPr>
              <w:t>3</w:t>
            </w:r>
            <w:r>
              <w:rPr>
                <w:rFonts w:ascii="宋体" w:hAnsi="宋体"/>
                <w:b/>
                <w:bCs/>
                <w:strike w:val="0"/>
                <w:dstrike w:val="0"/>
                <w:color w:val="auto"/>
                <w:highlight w:val="none"/>
              </w:rPr>
              <w:t>）</w:t>
            </w:r>
          </w:p>
        </w:tc>
      </w:tr>
      <w:tr w14:paraId="5CD5A2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continue"/>
            <w:vAlign w:val="center"/>
          </w:tcPr>
          <w:p w14:paraId="101305E8">
            <w:pPr>
              <w:pStyle w:val="18"/>
              <w:keepLines w:val="0"/>
              <w:widowControl w:val="0"/>
              <w:wordWrap/>
              <w:overflowPunct/>
              <w:topLinePunct w:val="0"/>
              <w:bidi w:val="0"/>
              <w:adjustRightInd w:val="0"/>
              <w:snapToGrid w:val="0"/>
              <w:spacing w:line="360" w:lineRule="auto"/>
              <w:rPr>
                <w:rFonts w:ascii="宋体" w:hAnsi="宋体"/>
                <w:b/>
                <w:bCs/>
                <w:strike w:val="0"/>
                <w:dstrike w:val="0"/>
                <w:color w:val="auto"/>
                <w:highlight w:val="none"/>
              </w:rPr>
            </w:pPr>
          </w:p>
        </w:tc>
        <w:tc>
          <w:tcPr>
            <w:tcW w:w="1667" w:type="pct"/>
            <w:vAlign w:val="center"/>
          </w:tcPr>
          <w:p w14:paraId="1E051176">
            <w:pPr>
              <w:pStyle w:val="18"/>
              <w:keepLines w:val="0"/>
              <w:widowControl w:val="0"/>
              <w:wordWrap/>
              <w:overflowPunct/>
              <w:topLinePunct w:val="0"/>
              <w:bidi w:val="0"/>
              <w:adjustRightInd w:val="0"/>
              <w:snapToGrid w:val="0"/>
              <w:spacing w:line="360" w:lineRule="auto"/>
              <w:rPr>
                <w:rFonts w:ascii="宋体" w:hAnsi="宋体"/>
                <w:b/>
                <w:bCs/>
                <w:strike w:val="0"/>
                <w:dstrike w:val="0"/>
                <w:color w:val="auto"/>
                <w:highlight w:val="none"/>
              </w:rPr>
            </w:pPr>
            <w:r>
              <w:rPr>
                <w:rFonts w:ascii="宋体" w:hAnsi="宋体"/>
                <w:b/>
                <w:bCs/>
                <w:strike w:val="0"/>
                <w:dstrike w:val="0"/>
                <w:color w:val="auto"/>
                <w:highlight w:val="none"/>
              </w:rPr>
              <w:t>总容积</w:t>
            </w:r>
            <w:r>
              <w:rPr>
                <w:rFonts w:hint="eastAsia" w:ascii="宋体" w:hAnsi="宋体"/>
                <w:b/>
                <w:bCs/>
                <w:strike w:val="0"/>
                <w:dstrike w:val="0"/>
                <w:color w:val="auto"/>
                <w:highlight w:val="none"/>
              </w:rPr>
              <w:t>V</w:t>
            </w:r>
          </w:p>
        </w:tc>
        <w:tc>
          <w:tcPr>
            <w:tcW w:w="1671" w:type="pct"/>
            <w:vAlign w:val="center"/>
          </w:tcPr>
          <w:p w14:paraId="5D66955F">
            <w:pPr>
              <w:pStyle w:val="18"/>
              <w:keepLines w:val="0"/>
              <w:widowControl w:val="0"/>
              <w:wordWrap/>
              <w:overflowPunct/>
              <w:topLinePunct w:val="0"/>
              <w:bidi w:val="0"/>
              <w:adjustRightInd w:val="0"/>
              <w:snapToGrid w:val="0"/>
              <w:spacing w:line="360" w:lineRule="auto"/>
              <w:rPr>
                <w:rFonts w:ascii="宋体" w:hAnsi="宋体"/>
                <w:b/>
                <w:bCs/>
                <w:strike w:val="0"/>
                <w:dstrike w:val="0"/>
                <w:color w:val="auto"/>
                <w:highlight w:val="none"/>
              </w:rPr>
            </w:pPr>
            <w:r>
              <w:rPr>
                <w:rFonts w:ascii="宋体" w:hAnsi="宋体"/>
                <w:b/>
                <w:bCs/>
                <w:strike w:val="0"/>
                <w:dstrike w:val="0"/>
                <w:color w:val="auto"/>
                <w:highlight w:val="none"/>
              </w:rPr>
              <w:t>单罐容积</w:t>
            </w:r>
          </w:p>
        </w:tc>
      </w:tr>
      <w:tr w14:paraId="01B1A1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740B14CF">
            <w:pPr>
              <w:pStyle w:val="18"/>
              <w:keepLines w:val="0"/>
              <w:widowControl w:val="0"/>
              <w:wordWrap/>
              <w:overflowPunct/>
              <w:topLinePunct w:val="0"/>
              <w:bidi w:val="0"/>
              <w:adjustRightInd w:val="0"/>
              <w:snapToGrid w:val="0"/>
              <w:spacing w:line="360" w:lineRule="auto"/>
              <w:rPr>
                <w:rFonts w:ascii="宋体" w:hAnsi="宋体"/>
                <w:strike w:val="0"/>
                <w:dstrike w:val="0"/>
                <w:color w:val="auto"/>
                <w:highlight w:val="none"/>
              </w:rPr>
            </w:pPr>
            <w:r>
              <w:rPr>
                <w:rFonts w:ascii="宋体" w:hAnsi="宋体"/>
                <w:strike w:val="0"/>
                <w:dstrike w:val="0"/>
                <w:color w:val="auto"/>
                <w:highlight w:val="none"/>
              </w:rPr>
              <w:t>一级</w:t>
            </w:r>
          </w:p>
        </w:tc>
        <w:tc>
          <w:tcPr>
            <w:tcW w:w="1667" w:type="pct"/>
            <w:vAlign w:val="center"/>
          </w:tcPr>
          <w:p w14:paraId="433C4CF8">
            <w:pPr>
              <w:pStyle w:val="18"/>
              <w:keepLines w:val="0"/>
              <w:widowControl w:val="0"/>
              <w:wordWrap/>
              <w:overflowPunct/>
              <w:topLinePunct w:val="0"/>
              <w:bidi w:val="0"/>
              <w:adjustRightInd w:val="0"/>
              <w:snapToGrid w:val="0"/>
              <w:spacing w:line="360" w:lineRule="auto"/>
              <w:rPr>
                <w:rFonts w:ascii="宋体" w:hAnsi="宋体"/>
                <w:strike w:val="0"/>
                <w:dstrike w:val="0"/>
                <w:color w:val="auto"/>
                <w:highlight w:val="none"/>
              </w:rPr>
            </w:pPr>
            <w:r>
              <w:rPr>
                <w:rFonts w:ascii="宋体" w:hAnsi="宋体"/>
                <w:strike w:val="0"/>
                <w:dstrike w:val="0"/>
                <w:color w:val="auto"/>
                <w:highlight w:val="none"/>
              </w:rPr>
              <w:t>150＜V</w:t>
            </w:r>
            <w:r>
              <w:rPr>
                <w:rFonts w:hint="eastAsia" w:ascii="宋体" w:hAnsi="宋体"/>
                <w:strike w:val="0"/>
                <w:dstrike w:val="0"/>
                <w:color w:val="auto"/>
                <w:highlight w:val="none"/>
              </w:rPr>
              <w:t>≤</w:t>
            </w:r>
            <w:r>
              <w:rPr>
                <w:rFonts w:ascii="宋体" w:hAnsi="宋体"/>
                <w:strike w:val="0"/>
                <w:dstrike w:val="0"/>
                <w:color w:val="auto"/>
                <w:highlight w:val="none"/>
              </w:rPr>
              <w:t>210</w:t>
            </w:r>
          </w:p>
        </w:tc>
        <w:tc>
          <w:tcPr>
            <w:tcW w:w="1671" w:type="pct"/>
            <w:vAlign w:val="center"/>
          </w:tcPr>
          <w:p w14:paraId="40EF2BDE">
            <w:pPr>
              <w:pStyle w:val="18"/>
              <w:keepLines w:val="0"/>
              <w:widowControl w:val="0"/>
              <w:wordWrap/>
              <w:overflowPunct/>
              <w:topLinePunct w:val="0"/>
              <w:bidi w:val="0"/>
              <w:adjustRightInd w:val="0"/>
              <w:snapToGrid w:val="0"/>
              <w:spacing w:line="360" w:lineRule="auto"/>
              <w:rPr>
                <w:rFonts w:ascii="宋体" w:hAnsi="宋体"/>
                <w:strike w:val="0"/>
                <w:dstrike w:val="0"/>
                <w:color w:val="auto"/>
                <w:highlight w:val="none"/>
              </w:rPr>
            </w:pPr>
            <w:r>
              <w:rPr>
                <w:rFonts w:hint="eastAsia" w:ascii="宋体" w:hAnsi="宋体"/>
                <w:strike w:val="0"/>
                <w:dstrike w:val="0"/>
                <w:color w:val="auto"/>
                <w:highlight w:val="none"/>
              </w:rPr>
              <w:t>≤</w:t>
            </w:r>
            <w:r>
              <w:rPr>
                <w:rFonts w:ascii="宋体" w:hAnsi="宋体"/>
                <w:strike w:val="0"/>
                <w:dstrike w:val="0"/>
                <w:color w:val="auto"/>
                <w:highlight w:val="none"/>
              </w:rPr>
              <w:t>50</w:t>
            </w:r>
          </w:p>
        </w:tc>
      </w:tr>
      <w:tr w14:paraId="3EA16C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544DCCD1">
            <w:pPr>
              <w:pStyle w:val="18"/>
              <w:keepLines w:val="0"/>
              <w:widowControl w:val="0"/>
              <w:wordWrap/>
              <w:overflowPunct/>
              <w:topLinePunct w:val="0"/>
              <w:bidi w:val="0"/>
              <w:adjustRightInd w:val="0"/>
              <w:snapToGrid w:val="0"/>
              <w:spacing w:line="360" w:lineRule="auto"/>
              <w:rPr>
                <w:rFonts w:ascii="宋体" w:hAnsi="宋体"/>
                <w:strike w:val="0"/>
                <w:dstrike w:val="0"/>
                <w:color w:val="auto"/>
                <w:highlight w:val="none"/>
              </w:rPr>
            </w:pPr>
            <w:r>
              <w:rPr>
                <w:rFonts w:ascii="宋体" w:hAnsi="宋体"/>
                <w:strike w:val="0"/>
                <w:dstrike w:val="0"/>
                <w:color w:val="auto"/>
                <w:highlight w:val="none"/>
              </w:rPr>
              <w:t>二级</w:t>
            </w:r>
          </w:p>
        </w:tc>
        <w:tc>
          <w:tcPr>
            <w:tcW w:w="1667" w:type="pct"/>
            <w:vAlign w:val="center"/>
          </w:tcPr>
          <w:p w14:paraId="52655122">
            <w:pPr>
              <w:pStyle w:val="18"/>
              <w:keepLines w:val="0"/>
              <w:widowControl w:val="0"/>
              <w:wordWrap/>
              <w:overflowPunct/>
              <w:topLinePunct w:val="0"/>
              <w:bidi w:val="0"/>
              <w:adjustRightInd w:val="0"/>
              <w:snapToGrid w:val="0"/>
              <w:spacing w:line="360" w:lineRule="auto"/>
              <w:rPr>
                <w:rFonts w:ascii="宋体" w:hAnsi="宋体"/>
                <w:strike w:val="0"/>
                <w:dstrike w:val="0"/>
                <w:color w:val="auto"/>
                <w:highlight w:val="none"/>
              </w:rPr>
            </w:pPr>
            <w:r>
              <w:rPr>
                <w:rFonts w:ascii="宋体" w:hAnsi="宋体"/>
                <w:strike w:val="0"/>
                <w:dstrike w:val="0"/>
                <w:color w:val="auto"/>
                <w:highlight w:val="none"/>
              </w:rPr>
              <w:t>90</w:t>
            </w:r>
            <w:r>
              <w:rPr>
                <w:rFonts w:hint="eastAsia" w:ascii="宋体" w:hAnsi="宋体"/>
                <w:strike w:val="0"/>
                <w:dstrike w:val="0"/>
                <w:color w:val="auto"/>
                <w:highlight w:val="none"/>
              </w:rPr>
              <w:t>＜</w:t>
            </w:r>
            <w:r>
              <w:rPr>
                <w:rFonts w:ascii="宋体" w:hAnsi="宋体"/>
                <w:strike w:val="0"/>
                <w:dstrike w:val="0"/>
                <w:color w:val="auto"/>
                <w:highlight w:val="none"/>
              </w:rPr>
              <w:t>V</w:t>
            </w:r>
            <w:r>
              <w:rPr>
                <w:rFonts w:hint="eastAsia" w:ascii="宋体" w:hAnsi="宋体"/>
                <w:strike w:val="0"/>
                <w:dstrike w:val="0"/>
                <w:color w:val="auto"/>
                <w:highlight w:val="none"/>
              </w:rPr>
              <w:t>≤</w:t>
            </w:r>
            <w:r>
              <w:rPr>
                <w:rFonts w:ascii="宋体" w:hAnsi="宋体"/>
                <w:strike w:val="0"/>
                <w:dstrike w:val="0"/>
                <w:color w:val="auto"/>
                <w:highlight w:val="none"/>
              </w:rPr>
              <w:t>150</w:t>
            </w:r>
          </w:p>
        </w:tc>
        <w:tc>
          <w:tcPr>
            <w:tcW w:w="1671" w:type="pct"/>
            <w:vAlign w:val="center"/>
          </w:tcPr>
          <w:p w14:paraId="11595182">
            <w:pPr>
              <w:pStyle w:val="18"/>
              <w:keepLines w:val="0"/>
              <w:widowControl w:val="0"/>
              <w:wordWrap/>
              <w:overflowPunct/>
              <w:topLinePunct w:val="0"/>
              <w:bidi w:val="0"/>
              <w:adjustRightInd w:val="0"/>
              <w:snapToGrid w:val="0"/>
              <w:spacing w:line="360" w:lineRule="auto"/>
              <w:rPr>
                <w:rFonts w:ascii="宋体" w:hAnsi="宋体"/>
                <w:strike w:val="0"/>
                <w:dstrike w:val="0"/>
                <w:color w:val="auto"/>
                <w:highlight w:val="none"/>
              </w:rPr>
            </w:pPr>
            <w:r>
              <w:rPr>
                <w:rFonts w:hint="eastAsia" w:ascii="宋体" w:hAnsi="宋体"/>
                <w:strike w:val="0"/>
                <w:dstrike w:val="0"/>
                <w:color w:val="auto"/>
                <w:highlight w:val="none"/>
              </w:rPr>
              <w:t>≤</w:t>
            </w:r>
            <w:r>
              <w:rPr>
                <w:rFonts w:ascii="宋体" w:hAnsi="宋体"/>
                <w:strike w:val="0"/>
                <w:dstrike w:val="0"/>
                <w:color w:val="auto"/>
                <w:highlight w:val="none"/>
              </w:rPr>
              <w:t>50</w:t>
            </w:r>
          </w:p>
        </w:tc>
      </w:tr>
      <w:tr w14:paraId="6D684A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27786006">
            <w:pPr>
              <w:pStyle w:val="18"/>
              <w:keepLines w:val="0"/>
              <w:widowControl w:val="0"/>
              <w:wordWrap/>
              <w:overflowPunct/>
              <w:topLinePunct w:val="0"/>
              <w:bidi w:val="0"/>
              <w:adjustRightInd w:val="0"/>
              <w:snapToGrid w:val="0"/>
              <w:spacing w:line="360" w:lineRule="auto"/>
              <w:rPr>
                <w:rFonts w:ascii="宋体" w:hAnsi="宋体"/>
                <w:strike w:val="0"/>
                <w:dstrike w:val="0"/>
                <w:color w:val="auto"/>
                <w:highlight w:val="none"/>
              </w:rPr>
            </w:pPr>
            <w:r>
              <w:rPr>
                <w:rFonts w:ascii="宋体" w:hAnsi="宋体"/>
                <w:strike w:val="0"/>
                <w:dstrike w:val="0"/>
                <w:color w:val="auto"/>
                <w:highlight w:val="none"/>
              </w:rPr>
              <w:t>三级</w:t>
            </w:r>
          </w:p>
        </w:tc>
        <w:tc>
          <w:tcPr>
            <w:tcW w:w="1667" w:type="pct"/>
            <w:vAlign w:val="center"/>
          </w:tcPr>
          <w:p w14:paraId="343AA25B">
            <w:pPr>
              <w:pStyle w:val="18"/>
              <w:keepLines w:val="0"/>
              <w:widowControl w:val="0"/>
              <w:wordWrap/>
              <w:overflowPunct/>
              <w:topLinePunct w:val="0"/>
              <w:bidi w:val="0"/>
              <w:adjustRightInd w:val="0"/>
              <w:snapToGrid w:val="0"/>
              <w:spacing w:line="360" w:lineRule="auto"/>
              <w:rPr>
                <w:rFonts w:ascii="宋体" w:hAnsi="宋体"/>
                <w:strike w:val="0"/>
                <w:dstrike w:val="0"/>
                <w:color w:val="auto"/>
                <w:highlight w:val="none"/>
              </w:rPr>
            </w:pPr>
            <w:r>
              <w:rPr>
                <w:rFonts w:ascii="宋体" w:hAnsi="宋体"/>
                <w:strike w:val="0"/>
                <w:dstrike w:val="0"/>
                <w:color w:val="auto"/>
                <w:highlight w:val="none"/>
              </w:rPr>
              <w:t>V</w:t>
            </w:r>
            <w:r>
              <w:rPr>
                <w:rFonts w:hint="eastAsia" w:ascii="宋体" w:hAnsi="宋体"/>
                <w:strike w:val="0"/>
                <w:dstrike w:val="0"/>
                <w:color w:val="auto"/>
                <w:highlight w:val="none"/>
              </w:rPr>
              <w:t>≤</w:t>
            </w:r>
            <w:r>
              <w:rPr>
                <w:rFonts w:ascii="宋体" w:hAnsi="宋体"/>
                <w:strike w:val="0"/>
                <w:dstrike w:val="0"/>
                <w:color w:val="auto"/>
                <w:highlight w:val="none"/>
              </w:rPr>
              <w:t>90</w:t>
            </w:r>
          </w:p>
        </w:tc>
        <w:tc>
          <w:tcPr>
            <w:tcW w:w="1671" w:type="pct"/>
            <w:vAlign w:val="center"/>
          </w:tcPr>
          <w:p w14:paraId="238A3538">
            <w:pPr>
              <w:pStyle w:val="18"/>
              <w:keepLines w:val="0"/>
              <w:widowControl w:val="0"/>
              <w:wordWrap/>
              <w:overflowPunct/>
              <w:topLinePunct w:val="0"/>
              <w:bidi w:val="0"/>
              <w:adjustRightInd w:val="0"/>
              <w:snapToGrid w:val="0"/>
              <w:spacing w:line="360" w:lineRule="auto"/>
              <w:rPr>
                <w:rFonts w:ascii="宋体" w:hAnsi="宋体"/>
                <w:strike w:val="0"/>
                <w:dstrike w:val="0"/>
                <w:color w:val="auto"/>
                <w:highlight w:val="none"/>
              </w:rPr>
            </w:pPr>
            <w:r>
              <w:rPr>
                <w:rFonts w:hint="eastAsia" w:ascii="宋体" w:hAnsi="宋体"/>
                <w:strike w:val="0"/>
                <w:dstrike w:val="0"/>
                <w:color w:val="auto"/>
                <w:highlight w:val="none"/>
              </w:rPr>
              <w:t>汽油</w:t>
            </w:r>
            <w:r>
              <w:rPr>
                <w:rFonts w:ascii="宋体" w:hAnsi="宋体"/>
                <w:strike w:val="0"/>
                <w:dstrike w:val="0"/>
                <w:color w:val="auto"/>
                <w:highlight w:val="none"/>
              </w:rPr>
              <w:t>罐</w:t>
            </w:r>
            <w:r>
              <w:rPr>
                <w:rFonts w:hint="eastAsia" w:ascii="宋体" w:hAnsi="宋体"/>
                <w:strike w:val="0"/>
                <w:dstrike w:val="0"/>
                <w:color w:val="auto"/>
                <w:highlight w:val="none"/>
              </w:rPr>
              <w:t>≤</w:t>
            </w:r>
            <w:r>
              <w:rPr>
                <w:rFonts w:ascii="宋体" w:hAnsi="宋体"/>
                <w:strike w:val="0"/>
                <w:dstrike w:val="0"/>
                <w:color w:val="auto"/>
                <w:highlight w:val="none"/>
              </w:rPr>
              <w:t>30</w:t>
            </w:r>
          </w:p>
        </w:tc>
      </w:tr>
    </w:tbl>
    <w:p w14:paraId="644ED625">
      <w:pPr>
        <w:pStyle w:val="19"/>
        <w:keepLines w:val="0"/>
        <w:widowControl w:val="0"/>
        <w:wordWrap/>
        <w:overflowPunct/>
        <w:topLinePunct w:val="0"/>
        <w:bidi w:val="0"/>
        <w:adjustRightInd w:val="0"/>
        <w:snapToGrid w:val="0"/>
        <w:spacing w:line="360" w:lineRule="auto"/>
        <w:ind w:firstLine="436"/>
        <w:rPr>
          <w:rFonts w:ascii="黑体" w:hAnsi="黑体" w:cs="黑体"/>
          <w:strike w:val="0"/>
          <w:dstrike w:val="0"/>
          <w:color w:val="auto"/>
          <w:highlight w:val="none"/>
        </w:rPr>
      </w:pPr>
      <w:r>
        <w:rPr>
          <w:rFonts w:hint="eastAsia" w:ascii="黑体" w:hAnsi="黑体" w:cs="黑体"/>
          <w:strike w:val="0"/>
          <w:dstrike w:val="0"/>
          <w:color w:val="auto"/>
          <w:highlight w:val="none"/>
        </w:rPr>
        <w:t>注：V为油罐总容积。</w:t>
      </w:r>
    </w:p>
    <w:p w14:paraId="0B03755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rPr>
          <w:rFonts w:ascii="宋体" w:hAnsi="宋体"/>
          <w:strike w:val="0"/>
          <w:dstrike w:val="0"/>
          <w:color w:val="auto"/>
          <w:sz w:val="28"/>
          <w:szCs w:val="28"/>
          <w:highlight w:val="none"/>
        </w:rPr>
      </w:pPr>
      <w:r>
        <w:rPr>
          <w:rFonts w:hint="eastAsia" w:ascii="宋体" w:hAnsi="宋体"/>
          <w:strike w:val="0"/>
          <w:dstrike w:val="0"/>
          <w:color w:val="auto"/>
          <w:sz w:val="28"/>
          <w:szCs w:val="28"/>
          <w:highlight w:val="none"/>
        </w:rPr>
        <w:t>该站现有职工</w:t>
      </w:r>
      <w:r>
        <w:rPr>
          <w:rFonts w:hint="eastAsia" w:ascii="宋体" w:hAnsi="宋体"/>
          <w:strike w:val="0"/>
          <w:dstrike w:val="0"/>
          <w:color w:val="auto"/>
          <w:sz w:val="28"/>
          <w:szCs w:val="28"/>
          <w:highlight w:val="none"/>
          <w:lang w:val="en-US" w:eastAsia="zh-CN"/>
        </w:rPr>
        <w:t>2人</w:t>
      </w:r>
      <w:r>
        <w:rPr>
          <w:rFonts w:hint="eastAsia" w:ascii="宋体" w:hAnsi="宋体"/>
          <w:strike w:val="0"/>
          <w:dstrike w:val="0"/>
          <w:color w:val="auto"/>
          <w:sz w:val="28"/>
          <w:szCs w:val="28"/>
          <w:highlight w:val="none"/>
        </w:rPr>
        <w:t>，其中主要负责人1人，安全生产管理员1人。主要负责人和安全生产管理人员已参加了危险化学品安全管理培训，并取得考核合格证，详见附页。</w:t>
      </w:r>
    </w:p>
    <w:p w14:paraId="0557DEF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rPr>
          <w:rFonts w:hint="eastAsia" w:ascii="宋体" w:hAnsi="宋体"/>
          <w:strike w:val="0"/>
          <w:dstrike w:val="0"/>
          <w:color w:val="auto"/>
          <w:sz w:val="28"/>
          <w:szCs w:val="28"/>
          <w:highlight w:val="none"/>
        </w:rPr>
      </w:pPr>
      <w:r>
        <w:rPr>
          <w:rFonts w:hint="eastAsia" w:ascii="宋体" w:hAnsi="宋体"/>
          <w:strike w:val="0"/>
          <w:dstrike w:val="0"/>
          <w:color w:val="auto"/>
          <w:sz w:val="28"/>
          <w:szCs w:val="28"/>
          <w:highlight w:val="none"/>
        </w:rPr>
        <w:t>加油站于20</w:t>
      </w:r>
      <w:r>
        <w:rPr>
          <w:rFonts w:hint="eastAsia" w:ascii="宋体" w:hAnsi="宋体"/>
          <w:strike w:val="0"/>
          <w:dstrike w:val="0"/>
          <w:color w:val="auto"/>
          <w:sz w:val="28"/>
          <w:szCs w:val="28"/>
          <w:highlight w:val="none"/>
          <w:lang w:val="en-US" w:eastAsia="zh-CN"/>
        </w:rPr>
        <w:t>06</w:t>
      </w:r>
      <w:r>
        <w:rPr>
          <w:rFonts w:hint="eastAsia" w:ascii="宋体" w:hAnsi="宋体"/>
          <w:strike w:val="0"/>
          <w:dstrike w:val="0"/>
          <w:color w:val="auto"/>
          <w:sz w:val="28"/>
          <w:szCs w:val="28"/>
          <w:highlight w:val="none"/>
        </w:rPr>
        <w:t>年</w:t>
      </w:r>
      <w:r>
        <w:rPr>
          <w:rFonts w:hint="eastAsia" w:ascii="宋体" w:hAnsi="宋体"/>
          <w:strike w:val="0"/>
          <w:dstrike w:val="0"/>
          <w:color w:val="auto"/>
          <w:sz w:val="28"/>
          <w:szCs w:val="28"/>
          <w:highlight w:val="none"/>
          <w:lang w:val="en-US" w:eastAsia="zh-CN"/>
        </w:rPr>
        <w:t>7</w:t>
      </w:r>
      <w:r>
        <w:rPr>
          <w:rFonts w:hint="eastAsia" w:ascii="宋体" w:hAnsi="宋体"/>
          <w:strike w:val="0"/>
          <w:dstrike w:val="0"/>
          <w:color w:val="auto"/>
          <w:sz w:val="28"/>
          <w:szCs w:val="28"/>
          <w:highlight w:val="none"/>
        </w:rPr>
        <w:t>月</w:t>
      </w:r>
      <w:r>
        <w:rPr>
          <w:rFonts w:hint="eastAsia" w:ascii="宋体" w:hAnsi="宋体"/>
          <w:strike w:val="0"/>
          <w:dstrike w:val="0"/>
          <w:color w:val="auto"/>
          <w:sz w:val="28"/>
          <w:szCs w:val="28"/>
          <w:highlight w:val="none"/>
          <w:lang w:val="en-US" w:eastAsia="zh-CN"/>
        </w:rPr>
        <w:t>10</w:t>
      </w:r>
      <w:r>
        <w:rPr>
          <w:rFonts w:hint="eastAsia" w:ascii="宋体" w:hAnsi="宋体"/>
          <w:strike w:val="0"/>
          <w:dstrike w:val="0"/>
          <w:color w:val="auto"/>
          <w:sz w:val="28"/>
          <w:szCs w:val="28"/>
          <w:highlight w:val="none"/>
        </w:rPr>
        <w:t>日取得了</w:t>
      </w:r>
      <w:r>
        <w:rPr>
          <w:rFonts w:hint="eastAsia" w:ascii="宋体" w:hAnsi="宋体"/>
          <w:strike w:val="0"/>
          <w:dstrike w:val="0"/>
          <w:color w:val="auto"/>
          <w:sz w:val="28"/>
          <w:szCs w:val="28"/>
          <w:highlight w:val="none"/>
          <w:lang w:val="en-US" w:eastAsia="zh-CN"/>
        </w:rPr>
        <w:t>肥城</w:t>
      </w:r>
      <w:r>
        <w:rPr>
          <w:rFonts w:hint="eastAsia" w:ascii="宋体" w:hAnsi="宋体"/>
          <w:strike w:val="0"/>
          <w:dstrike w:val="0"/>
          <w:color w:val="auto"/>
          <w:sz w:val="28"/>
          <w:szCs w:val="28"/>
          <w:highlight w:val="none"/>
        </w:rPr>
        <w:t>市公安消防</w:t>
      </w:r>
      <w:r>
        <w:rPr>
          <w:rFonts w:hint="eastAsia" w:ascii="宋体" w:hAnsi="宋体"/>
          <w:strike w:val="0"/>
          <w:dstrike w:val="0"/>
          <w:color w:val="auto"/>
          <w:sz w:val="28"/>
          <w:szCs w:val="28"/>
          <w:highlight w:val="none"/>
          <w:lang w:val="en-US" w:eastAsia="zh-CN"/>
        </w:rPr>
        <w:t>大</w:t>
      </w:r>
      <w:r>
        <w:rPr>
          <w:rFonts w:hint="eastAsia" w:ascii="宋体" w:hAnsi="宋体"/>
          <w:strike w:val="0"/>
          <w:dstrike w:val="0"/>
          <w:color w:val="auto"/>
          <w:sz w:val="28"/>
          <w:szCs w:val="28"/>
          <w:highlight w:val="none"/>
        </w:rPr>
        <w:t>队出具的</w:t>
      </w:r>
      <w:r>
        <w:rPr>
          <w:rFonts w:ascii="宋体" w:hAnsi="宋体"/>
          <w:strike w:val="0"/>
          <w:dstrike w:val="0"/>
          <w:color w:val="auto"/>
          <w:sz w:val="28"/>
          <w:szCs w:val="28"/>
          <w:highlight w:val="none"/>
        </w:rPr>
        <w:t>《</w:t>
      </w:r>
      <w:r>
        <w:rPr>
          <w:rFonts w:hint="eastAsia" w:ascii="宋体" w:hAnsi="宋体"/>
          <w:color w:val="auto"/>
          <w:sz w:val="28"/>
          <w:lang w:val="en-US" w:eastAsia="zh-CN"/>
        </w:rPr>
        <w:t>关于对中石化肥城20座加油站</w:t>
      </w:r>
      <w:r>
        <w:rPr>
          <w:rFonts w:hint="eastAsia" w:ascii="宋体" w:hAnsi="宋体" w:eastAsia="宋体"/>
          <w:color w:val="auto"/>
          <w:sz w:val="28"/>
          <w:lang w:val="en-US" w:eastAsia="zh-CN"/>
        </w:rPr>
        <w:t>消防安全检查的意见</w:t>
      </w:r>
      <w:r>
        <w:rPr>
          <w:rFonts w:ascii="宋体" w:hAnsi="宋体"/>
          <w:strike w:val="0"/>
          <w:dstrike w:val="0"/>
          <w:color w:val="auto"/>
          <w:sz w:val="28"/>
          <w:szCs w:val="28"/>
          <w:highlight w:val="none"/>
        </w:rPr>
        <w:t>》</w:t>
      </w:r>
      <w:r>
        <w:rPr>
          <w:rFonts w:hint="eastAsia" w:ascii="宋体" w:hAnsi="宋体"/>
          <w:strike w:val="0"/>
          <w:dstrike w:val="0"/>
          <w:color w:val="auto"/>
          <w:sz w:val="28"/>
          <w:szCs w:val="28"/>
          <w:highlight w:val="none"/>
        </w:rPr>
        <w:t>，结论为“</w:t>
      </w:r>
      <w:r>
        <w:rPr>
          <w:rFonts w:hint="eastAsia" w:ascii="宋体" w:hAnsi="宋体"/>
          <w:strike w:val="0"/>
          <w:dstrike w:val="0"/>
          <w:color w:val="auto"/>
          <w:sz w:val="28"/>
          <w:szCs w:val="28"/>
          <w:highlight w:val="none"/>
          <w:lang w:val="en-US" w:eastAsia="zh-CN"/>
        </w:rPr>
        <w:t>加油站符合国家有关消防技术规范的规定</w:t>
      </w:r>
      <w:r>
        <w:rPr>
          <w:rFonts w:hint="eastAsia" w:ascii="宋体" w:hAnsi="宋体"/>
          <w:strike w:val="0"/>
          <w:dstrike w:val="0"/>
          <w:color w:val="auto"/>
          <w:sz w:val="28"/>
          <w:szCs w:val="28"/>
          <w:highlight w:val="none"/>
        </w:rPr>
        <w:t>”，详见附件。</w:t>
      </w:r>
    </w:p>
    <w:p w14:paraId="776054B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rPr>
          <w:rFonts w:ascii="宋体" w:hAnsi="宋体"/>
          <w:strike w:val="0"/>
          <w:dstrike w:val="0"/>
          <w:color w:val="auto"/>
          <w:sz w:val="28"/>
          <w:szCs w:val="28"/>
          <w:highlight w:val="none"/>
        </w:rPr>
      </w:pPr>
      <w:r>
        <w:rPr>
          <w:rFonts w:hint="eastAsia" w:ascii="宋体" w:hAnsi="宋体"/>
          <w:strike w:val="0"/>
          <w:dstrike w:val="0"/>
          <w:color w:val="auto"/>
          <w:sz w:val="28"/>
          <w:szCs w:val="28"/>
          <w:highlight w:val="none"/>
          <w:lang w:val="en-US" w:eastAsia="zh-CN"/>
        </w:rPr>
        <w:t>中国石化山东泰山石油</w:t>
      </w:r>
      <w:r>
        <w:rPr>
          <w:rFonts w:hint="eastAsia" w:ascii="宋体" w:hAnsi="宋体"/>
          <w:strike w:val="0"/>
          <w:dstrike w:val="0"/>
          <w:color w:val="auto"/>
          <w:sz w:val="28"/>
          <w:szCs w:val="28"/>
          <w:highlight w:val="none"/>
        </w:rPr>
        <w:t>股份有限公司于</w:t>
      </w:r>
      <w:r>
        <w:rPr>
          <w:rFonts w:hint="eastAsia" w:ascii="宋体" w:hAnsi="宋体"/>
          <w:strike w:val="0"/>
          <w:dstrike w:val="0"/>
          <w:color w:val="auto"/>
          <w:sz w:val="28"/>
          <w:szCs w:val="28"/>
          <w:highlight w:val="none"/>
          <w:lang w:val="en-US" w:eastAsia="zh-CN"/>
        </w:rPr>
        <w:t>2012</w:t>
      </w:r>
      <w:r>
        <w:rPr>
          <w:rFonts w:hint="eastAsia" w:ascii="宋体" w:hAnsi="宋体"/>
          <w:strike w:val="0"/>
          <w:dstrike w:val="0"/>
          <w:color w:val="auto"/>
          <w:sz w:val="28"/>
          <w:szCs w:val="28"/>
          <w:highlight w:val="none"/>
        </w:rPr>
        <w:t>年</w:t>
      </w:r>
      <w:r>
        <w:rPr>
          <w:rFonts w:hint="eastAsia" w:ascii="宋体" w:hAnsi="宋体"/>
          <w:strike w:val="0"/>
          <w:dstrike w:val="0"/>
          <w:color w:val="auto"/>
          <w:sz w:val="28"/>
          <w:szCs w:val="28"/>
          <w:highlight w:val="none"/>
          <w:lang w:val="en-US" w:eastAsia="zh-CN"/>
        </w:rPr>
        <w:t>6</w:t>
      </w:r>
      <w:r>
        <w:rPr>
          <w:rFonts w:hint="eastAsia" w:ascii="宋体" w:hAnsi="宋体"/>
          <w:strike w:val="0"/>
          <w:dstrike w:val="0"/>
          <w:color w:val="auto"/>
          <w:sz w:val="28"/>
          <w:szCs w:val="28"/>
          <w:highlight w:val="none"/>
        </w:rPr>
        <w:t>月</w:t>
      </w:r>
      <w:r>
        <w:rPr>
          <w:rFonts w:hint="eastAsia" w:ascii="宋体" w:hAnsi="宋体"/>
          <w:strike w:val="0"/>
          <w:dstrike w:val="0"/>
          <w:color w:val="auto"/>
          <w:sz w:val="28"/>
          <w:szCs w:val="28"/>
          <w:highlight w:val="none"/>
          <w:lang w:val="en-US" w:eastAsia="zh-CN"/>
        </w:rPr>
        <w:t>29</w:t>
      </w:r>
      <w:r>
        <w:rPr>
          <w:rFonts w:hint="eastAsia" w:ascii="宋体" w:hAnsi="宋体"/>
          <w:strike w:val="0"/>
          <w:dstrike w:val="0"/>
          <w:color w:val="auto"/>
          <w:sz w:val="28"/>
          <w:szCs w:val="28"/>
          <w:highlight w:val="none"/>
        </w:rPr>
        <w:t>日取得了《国有土地使用证》，证书编号为：</w:t>
      </w:r>
      <w:r>
        <w:rPr>
          <w:rFonts w:hint="eastAsia" w:ascii="宋体" w:hAnsi="宋体"/>
          <w:strike w:val="0"/>
          <w:dstrike w:val="0"/>
          <w:color w:val="auto"/>
          <w:sz w:val="28"/>
          <w:szCs w:val="28"/>
          <w:highlight w:val="none"/>
          <w:lang w:val="en-US" w:eastAsia="zh-CN"/>
        </w:rPr>
        <w:t>肥城</w:t>
      </w:r>
      <w:r>
        <w:rPr>
          <w:rFonts w:hint="eastAsia" w:ascii="宋体" w:hAnsi="宋体"/>
          <w:strike w:val="0"/>
          <w:dstrike w:val="0"/>
          <w:color w:val="auto"/>
          <w:sz w:val="28"/>
          <w:szCs w:val="28"/>
          <w:highlight w:val="none"/>
        </w:rPr>
        <w:t>国用（</w:t>
      </w:r>
      <w:r>
        <w:rPr>
          <w:rFonts w:hint="eastAsia" w:ascii="宋体" w:hAnsi="宋体"/>
          <w:strike w:val="0"/>
          <w:dstrike w:val="0"/>
          <w:color w:val="auto"/>
          <w:sz w:val="28"/>
          <w:szCs w:val="28"/>
          <w:highlight w:val="none"/>
          <w:lang w:val="en-US" w:eastAsia="zh-CN"/>
        </w:rPr>
        <w:t>2012</w:t>
      </w:r>
      <w:r>
        <w:rPr>
          <w:rFonts w:hint="eastAsia" w:ascii="宋体" w:hAnsi="宋体"/>
          <w:strike w:val="0"/>
          <w:dstrike w:val="0"/>
          <w:color w:val="auto"/>
          <w:sz w:val="28"/>
          <w:szCs w:val="28"/>
          <w:highlight w:val="none"/>
        </w:rPr>
        <w:t>）第</w:t>
      </w:r>
      <w:r>
        <w:rPr>
          <w:rFonts w:hint="eastAsia" w:ascii="宋体" w:hAnsi="宋体"/>
          <w:strike w:val="0"/>
          <w:dstrike w:val="0"/>
          <w:color w:val="auto"/>
          <w:sz w:val="28"/>
          <w:szCs w:val="28"/>
          <w:highlight w:val="none"/>
          <w:lang w:val="en-US" w:eastAsia="zh-CN"/>
        </w:rPr>
        <w:t>130010</w:t>
      </w:r>
      <w:r>
        <w:rPr>
          <w:rFonts w:hint="eastAsia" w:ascii="宋体" w:hAnsi="宋体"/>
          <w:strike w:val="0"/>
          <w:dstrike w:val="0"/>
          <w:color w:val="auto"/>
          <w:sz w:val="28"/>
          <w:szCs w:val="28"/>
          <w:highlight w:val="none"/>
        </w:rPr>
        <w:t>号，详见附件。</w:t>
      </w:r>
    </w:p>
    <w:p w14:paraId="2A2FADA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rPr>
          <w:rFonts w:ascii="宋体" w:hAnsi="宋体"/>
          <w:strike w:val="0"/>
          <w:dstrike w:val="0"/>
          <w:color w:val="auto"/>
          <w:sz w:val="28"/>
          <w:szCs w:val="28"/>
          <w:highlight w:val="none"/>
        </w:rPr>
      </w:pPr>
      <w:r>
        <w:rPr>
          <w:rFonts w:hint="eastAsia" w:ascii="宋体" w:hAnsi="宋体"/>
          <w:strike w:val="0"/>
          <w:dstrike w:val="0"/>
          <w:color w:val="auto"/>
          <w:sz w:val="28"/>
          <w:szCs w:val="28"/>
          <w:highlight w:val="none"/>
        </w:rPr>
        <w:t>加油站于</w:t>
      </w:r>
      <w:r>
        <w:rPr>
          <w:rFonts w:ascii="宋体" w:hAnsi="宋体"/>
          <w:strike w:val="0"/>
          <w:dstrike w:val="0"/>
          <w:color w:val="auto"/>
          <w:sz w:val="28"/>
          <w:szCs w:val="28"/>
          <w:highlight w:val="none"/>
        </w:rPr>
        <w:t>20</w:t>
      </w:r>
      <w:r>
        <w:rPr>
          <w:rFonts w:hint="eastAsia" w:ascii="宋体" w:hAnsi="宋体"/>
          <w:strike w:val="0"/>
          <w:dstrike w:val="0"/>
          <w:color w:val="auto"/>
          <w:sz w:val="28"/>
          <w:szCs w:val="28"/>
          <w:highlight w:val="none"/>
        </w:rPr>
        <w:t>21</w:t>
      </w:r>
      <w:r>
        <w:rPr>
          <w:rFonts w:ascii="宋体" w:hAnsi="宋体"/>
          <w:strike w:val="0"/>
          <w:dstrike w:val="0"/>
          <w:color w:val="auto"/>
          <w:sz w:val="28"/>
          <w:szCs w:val="28"/>
          <w:highlight w:val="none"/>
        </w:rPr>
        <w:t>年</w:t>
      </w:r>
      <w:r>
        <w:rPr>
          <w:rFonts w:hint="eastAsia" w:ascii="宋体" w:hAnsi="宋体"/>
          <w:strike w:val="0"/>
          <w:dstrike w:val="0"/>
          <w:color w:val="auto"/>
          <w:sz w:val="28"/>
          <w:szCs w:val="28"/>
          <w:highlight w:val="none"/>
        </w:rPr>
        <w:t>1</w:t>
      </w:r>
      <w:r>
        <w:rPr>
          <w:rFonts w:hint="eastAsia" w:ascii="宋体" w:hAnsi="宋体"/>
          <w:strike w:val="0"/>
          <w:dstrike w:val="0"/>
          <w:color w:val="auto"/>
          <w:sz w:val="28"/>
          <w:szCs w:val="28"/>
          <w:highlight w:val="none"/>
          <w:lang w:val="en-US" w:eastAsia="zh-CN"/>
        </w:rPr>
        <w:t>2</w:t>
      </w:r>
      <w:r>
        <w:rPr>
          <w:rFonts w:ascii="宋体" w:hAnsi="宋体"/>
          <w:strike w:val="0"/>
          <w:dstrike w:val="0"/>
          <w:color w:val="auto"/>
          <w:sz w:val="28"/>
          <w:szCs w:val="28"/>
          <w:highlight w:val="none"/>
        </w:rPr>
        <w:t>月</w:t>
      </w:r>
      <w:r>
        <w:rPr>
          <w:rFonts w:hint="eastAsia" w:ascii="宋体" w:hAnsi="宋体"/>
          <w:strike w:val="0"/>
          <w:dstrike w:val="0"/>
          <w:color w:val="auto"/>
          <w:sz w:val="28"/>
          <w:szCs w:val="28"/>
          <w:highlight w:val="none"/>
          <w:lang w:val="en-US" w:eastAsia="zh-CN"/>
        </w:rPr>
        <w:t>27</w:t>
      </w:r>
      <w:r>
        <w:rPr>
          <w:rFonts w:ascii="宋体" w:hAnsi="宋体"/>
          <w:strike w:val="0"/>
          <w:dstrike w:val="0"/>
          <w:color w:val="auto"/>
          <w:sz w:val="28"/>
          <w:szCs w:val="28"/>
          <w:highlight w:val="none"/>
        </w:rPr>
        <w:t>日</w:t>
      </w:r>
      <w:r>
        <w:rPr>
          <w:rFonts w:hint="eastAsia" w:ascii="宋体" w:hAnsi="宋体"/>
          <w:strike w:val="0"/>
          <w:dstrike w:val="0"/>
          <w:color w:val="auto"/>
          <w:sz w:val="28"/>
          <w:szCs w:val="28"/>
          <w:highlight w:val="none"/>
        </w:rPr>
        <w:t>换发了</w:t>
      </w:r>
      <w:r>
        <w:rPr>
          <w:rFonts w:ascii="宋体" w:hAnsi="宋体"/>
          <w:strike w:val="0"/>
          <w:dstrike w:val="0"/>
          <w:color w:val="auto"/>
          <w:sz w:val="28"/>
          <w:szCs w:val="28"/>
          <w:highlight w:val="none"/>
        </w:rPr>
        <w:t>《成品油零售经营批准证书》，证书编号：</w:t>
      </w:r>
      <w:r>
        <w:rPr>
          <w:rFonts w:hint="eastAsia" w:ascii="宋体" w:hAnsi="宋体"/>
          <w:strike w:val="0"/>
          <w:dstrike w:val="0"/>
          <w:color w:val="auto"/>
          <w:sz w:val="28"/>
          <w:szCs w:val="28"/>
          <w:highlight w:val="none"/>
        </w:rPr>
        <w:t>鲁油零售证书第37090</w:t>
      </w:r>
      <w:r>
        <w:rPr>
          <w:rFonts w:hint="eastAsia" w:ascii="宋体" w:hAnsi="宋体"/>
          <w:strike w:val="0"/>
          <w:dstrike w:val="0"/>
          <w:color w:val="auto"/>
          <w:sz w:val="28"/>
          <w:szCs w:val="28"/>
          <w:highlight w:val="none"/>
          <w:lang w:val="en-US" w:eastAsia="zh-CN"/>
        </w:rPr>
        <w:t>61022</w:t>
      </w:r>
      <w:r>
        <w:rPr>
          <w:rFonts w:ascii="宋体" w:hAnsi="宋体"/>
          <w:strike w:val="0"/>
          <w:dstrike w:val="0"/>
          <w:color w:val="auto"/>
          <w:sz w:val="28"/>
          <w:szCs w:val="28"/>
          <w:highlight w:val="none"/>
        </w:rPr>
        <w:t>号</w:t>
      </w:r>
      <w:r>
        <w:rPr>
          <w:rFonts w:hint="eastAsia" w:ascii="宋体" w:hAnsi="宋体"/>
          <w:strike w:val="0"/>
          <w:dstrike w:val="0"/>
          <w:color w:val="auto"/>
          <w:sz w:val="28"/>
          <w:szCs w:val="28"/>
          <w:highlight w:val="none"/>
        </w:rPr>
        <w:t>，证书有效期至2026年</w:t>
      </w:r>
      <w:r>
        <w:rPr>
          <w:rFonts w:hint="eastAsia" w:ascii="宋体" w:hAnsi="宋体"/>
          <w:strike w:val="0"/>
          <w:dstrike w:val="0"/>
          <w:color w:val="auto"/>
          <w:sz w:val="28"/>
          <w:szCs w:val="28"/>
          <w:highlight w:val="none"/>
          <w:lang w:val="en-US" w:eastAsia="zh-CN"/>
        </w:rPr>
        <w:t>12</w:t>
      </w:r>
      <w:r>
        <w:rPr>
          <w:rFonts w:hint="eastAsia" w:ascii="宋体" w:hAnsi="宋体"/>
          <w:strike w:val="0"/>
          <w:dstrike w:val="0"/>
          <w:color w:val="auto"/>
          <w:sz w:val="28"/>
          <w:szCs w:val="28"/>
          <w:highlight w:val="none"/>
        </w:rPr>
        <w:t>月</w:t>
      </w:r>
      <w:r>
        <w:rPr>
          <w:rFonts w:hint="eastAsia" w:ascii="宋体" w:hAnsi="宋体"/>
          <w:strike w:val="0"/>
          <w:dstrike w:val="0"/>
          <w:color w:val="auto"/>
          <w:sz w:val="28"/>
          <w:szCs w:val="28"/>
          <w:highlight w:val="none"/>
          <w:lang w:val="en-US" w:eastAsia="zh-CN"/>
        </w:rPr>
        <w:t>27</w:t>
      </w:r>
      <w:r>
        <w:rPr>
          <w:rFonts w:hint="eastAsia" w:ascii="宋体" w:hAnsi="宋体"/>
          <w:strike w:val="0"/>
          <w:dstrike w:val="0"/>
          <w:color w:val="auto"/>
          <w:sz w:val="28"/>
          <w:szCs w:val="28"/>
          <w:highlight w:val="none"/>
        </w:rPr>
        <w:t>日，证书见附件</w:t>
      </w:r>
      <w:r>
        <w:rPr>
          <w:rFonts w:ascii="宋体" w:hAnsi="宋体"/>
          <w:strike w:val="0"/>
          <w:dstrike w:val="0"/>
          <w:color w:val="auto"/>
          <w:sz w:val="28"/>
          <w:szCs w:val="28"/>
          <w:highlight w:val="none"/>
        </w:rPr>
        <w:t>。</w:t>
      </w:r>
    </w:p>
    <w:p w14:paraId="74A0DA9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rPr>
          <w:rFonts w:hint="eastAsia" w:ascii="宋体" w:hAnsi="宋体"/>
          <w:strike w:val="0"/>
          <w:dstrike w:val="0"/>
          <w:color w:val="auto"/>
          <w:sz w:val="28"/>
          <w:szCs w:val="28"/>
          <w:highlight w:val="none"/>
        </w:rPr>
      </w:pPr>
      <w:r>
        <w:rPr>
          <w:rFonts w:hint="eastAsia" w:ascii="宋体" w:hAnsi="宋体"/>
          <w:strike w:val="0"/>
          <w:dstrike w:val="0"/>
          <w:color w:val="auto"/>
          <w:sz w:val="28"/>
          <w:szCs w:val="28"/>
          <w:highlight w:val="none"/>
        </w:rPr>
        <w:t>加油站于</w:t>
      </w:r>
      <w:r>
        <w:rPr>
          <w:rFonts w:ascii="宋体" w:hAnsi="宋体"/>
          <w:strike w:val="0"/>
          <w:dstrike w:val="0"/>
          <w:color w:val="auto"/>
          <w:sz w:val="28"/>
          <w:szCs w:val="28"/>
          <w:highlight w:val="none"/>
        </w:rPr>
        <w:t>20</w:t>
      </w:r>
      <w:r>
        <w:rPr>
          <w:rFonts w:hint="eastAsia" w:ascii="宋体" w:hAnsi="宋体"/>
          <w:strike w:val="0"/>
          <w:dstrike w:val="0"/>
          <w:color w:val="auto"/>
          <w:sz w:val="28"/>
          <w:szCs w:val="28"/>
          <w:highlight w:val="none"/>
        </w:rPr>
        <w:t>2</w:t>
      </w:r>
      <w:r>
        <w:rPr>
          <w:rFonts w:hint="eastAsia" w:ascii="宋体" w:hAnsi="宋体"/>
          <w:strike w:val="0"/>
          <w:dstrike w:val="0"/>
          <w:color w:val="auto"/>
          <w:sz w:val="28"/>
          <w:szCs w:val="28"/>
          <w:highlight w:val="none"/>
          <w:lang w:val="en-US" w:eastAsia="zh-CN"/>
        </w:rPr>
        <w:t>2</w:t>
      </w:r>
      <w:r>
        <w:rPr>
          <w:rFonts w:hint="eastAsia" w:ascii="宋体" w:hAnsi="宋体"/>
          <w:strike w:val="0"/>
          <w:dstrike w:val="0"/>
          <w:color w:val="auto"/>
          <w:sz w:val="28"/>
          <w:szCs w:val="28"/>
          <w:highlight w:val="none"/>
        </w:rPr>
        <w:t>年</w:t>
      </w:r>
      <w:r>
        <w:rPr>
          <w:rFonts w:hint="eastAsia" w:ascii="宋体" w:hAnsi="宋体"/>
          <w:strike w:val="0"/>
          <w:dstrike w:val="0"/>
          <w:color w:val="auto"/>
          <w:sz w:val="28"/>
          <w:szCs w:val="28"/>
          <w:highlight w:val="none"/>
          <w:lang w:val="en-US" w:eastAsia="zh-CN"/>
        </w:rPr>
        <w:t>6</w:t>
      </w:r>
      <w:r>
        <w:rPr>
          <w:rFonts w:hint="eastAsia" w:ascii="宋体" w:hAnsi="宋体"/>
          <w:strike w:val="0"/>
          <w:dstrike w:val="0"/>
          <w:color w:val="auto"/>
          <w:sz w:val="28"/>
          <w:szCs w:val="28"/>
          <w:highlight w:val="none"/>
        </w:rPr>
        <w:t>月</w:t>
      </w:r>
      <w:r>
        <w:rPr>
          <w:rFonts w:hint="eastAsia" w:ascii="宋体" w:hAnsi="宋体"/>
          <w:strike w:val="0"/>
          <w:dstrike w:val="0"/>
          <w:color w:val="auto"/>
          <w:sz w:val="28"/>
          <w:szCs w:val="28"/>
          <w:highlight w:val="none"/>
          <w:lang w:val="en-US" w:eastAsia="zh-CN"/>
        </w:rPr>
        <w:t>20</w:t>
      </w:r>
      <w:r>
        <w:rPr>
          <w:rFonts w:hint="eastAsia" w:ascii="宋体" w:hAnsi="宋体"/>
          <w:strike w:val="0"/>
          <w:dstrike w:val="0"/>
          <w:color w:val="auto"/>
          <w:sz w:val="28"/>
          <w:szCs w:val="28"/>
          <w:highlight w:val="none"/>
        </w:rPr>
        <w:t>日换发了《危险化学品经营许可证》，证书编号：鲁泰危化经[20</w:t>
      </w:r>
      <w:r>
        <w:rPr>
          <w:rFonts w:hint="eastAsia" w:ascii="宋体" w:hAnsi="宋体"/>
          <w:strike w:val="0"/>
          <w:dstrike w:val="0"/>
          <w:color w:val="auto"/>
          <w:sz w:val="28"/>
          <w:szCs w:val="28"/>
          <w:highlight w:val="none"/>
          <w:lang w:val="en-US" w:eastAsia="zh-CN"/>
        </w:rPr>
        <w:t>22</w:t>
      </w:r>
      <w:r>
        <w:rPr>
          <w:rFonts w:hint="eastAsia" w:ascii="宋体" w:hAnsi="宋体"/>
          <w:strike w:val="0"/>
          <w:dstrike w:val="0"/>
          <w:color w:val="auto"/>
          <w:sz w:val="28"/>
          <w:szCs w:val="28"/>
          <w:highlight w:val="none"/>
        </w:rPr>
        <w:t>]0</w:t>
      </w:r>
      <w:r>
        <w:rPr>
          <w:rFonts w:hint="eastAsia" w:ascii="宋体" w:hAnsi="宋体"/>
          <w:strike w:val="0"/>
          <w:dstrike w:val="0"/>
          <w:color w:val="auto"/>
          <w:sz w:val="28"/>
          <w:szCs w:val="28"/>
          <w:highlight w:val="none"/>
          <w:lang w:val="en-US" w:eastAsia="zh-CN"/>
        </w:rPr>
        <w:t>40018</w:t>
      </w:r>
      <w:r>
        <w:rPr>
          <w:rFonts w:hint="eastAsia" w:ascii="宋体" w:hAnsi="宋体"/>
          <w:strike w:val="0"/>
          <w:dstrike w:val="0"/>
          <w:color w:val="auto"/>
          <w:sz w:val="28"/>
          <w:szCs w:val="28"/>
          <w:highlight w:val="none"/>
        </w:rPr>
        <w:t>号，证书有效期至202</w:t>
      </w:r>
      <w:r>
        <w:rPr>
          <w:rFonts w:hint="eastAsia" w:ascii="宋体" w:hAnsi="宋体"/>
          <w:strike w:val="0"/>
          <w:dstrike w:val="0"/>
          <w:color w:val="auto"/>
          <w:sz w:val="28"/>
          <w:szCs w:val="28"/>
          <w:highlight w:val="none"/>
          <w:lang w:val="en-US" w:eastAsia="zh-CN"/>
        </w:rPr>
        <w:t>5</w:t>
      </w:r>
      <w:r>
        <w:rPr>
          <w:rFonts w:hint="eastAsia" w:ascii="宋体" w:hAnsi="宋体"/>
          <w:strike w:val="0"/>
          <w:dstrike w:val="0"/>
          <w:color w:val="auto"/>
          <w:sz w:val="28"/>
          <w:szCs w:val="28"/>
          <w:highlight w:val="none"/>
        </w:rPr>
        <w:t>年</w:t>
      </w:r>
      <w:r>
        <w:rPr>
          <w:rFonts w:hint="eastAsia" w:ascii="宋体" w:hAnsi="宋体"/>
          <w:strike w:val="0"/>
          <w:dstrike w:val="0"/>
          <w:color w:val="auto"/>
          <w:sz w:val="28"/>
          <w:szCs w:val="28"/>
          <w:highlight w:val="none"/>
          <w:lang w:val="en-US" w:eastAsia="zh-CN"/>
        </w:rPr>
        <w:t>06</w:t>
      </w:r>
      <w:r>
        <w:rPr>
          <w:rFonts w:hint="eastAsia" w:ascii="宋体" w:hAnsi="宋体"/>
          <w:strike w:val="0"/>
          <w:dstrike w:val="0"/>
          <w:color w:val="auto"/>
          <w:sz w:val="28"/>
          <w:szCs w:val="28"/>
          <w:highlight w:val="none"/>
        </w:rPr>
        <w:t>月</w:t>
      </w:r>
      <w:r>
        <w:rPr>
          <w:rFonts w:hint="eastAsia" w:ascii="宋体" w:hAnsi="宋体"/>
          <w:strike w:val="0"/>
          <w:dstrike w:val="0"/>
          <w:color w:val="auto"/>
          <w:sz w:val="28"/>
          <w:szCs w:val="28"/>
          <w:highlight w:val="none"/>
          <w:lang w:val="en-US" w:eastAsia="zh-CN"/>
        </w:rPr>
        <w:t>20</w:t>
      </w:r>
      <w:r>
        <w:rPr>
          <w:rFonts w:hint="eastAsia" w:ascii="宋体" w:hAnsi="宋体"/>
          <w:strike w:val="0"/>
          <w:dstrike w:val="0"/>
          <w:color w:val="auto"/>
          <w:sz w:val="28"/>
          <w:szCs w:val="28"/>
          <w:highlight w:val="none"/>
        </w:rPr>
        <w:t>日，证书见附件。</w:t>
      </w:r>
    </w:p>
    <w:p w14:paraId="2C452701">
      <w:pPr>
        <w:pStyle w:val="15"/>
        <w:widowControl w:val="0"/>
        <w:adjustRightInd w:val="0"/>
        <w:snapToGrid w:val="0"/>
        <w:spacing w:line="360" w:lineRule="auto"/>
        <w:ind w:firstLine="560"/>
        <w:rPr>
          <w:rFonts w:hint="eastAsia" w:ascii="宋体"/>
          <w:color w:val="auto"/>
        </w:rPr>
      </w:pPr>
      <w:r>
        <w:rPr>
          <w:rFonts w:hint="eastAsia" w:ascii="宋体"/>
          <w:color w:val="auto"/>
        </w:rPr>
        <w:t>该站在中国</w:t>
      </w:r>
      <w:r>
        <w:rPr>
          <w:rFonts w:hint="eastAsia" w:ascii="宋体"/>
          <w:color w:val="auto"/>
          <w:lang w:val="en-US" w:eastAsia="zh-CN"/>
        </w:rPr>
        <w:t>太平洋财产</w:t>
      </w:r>
      <w:r>
        <w:rPr>
          <w:rFonts w:hint="eastAsia" w:ascii="宋体"/>
          <w:color w:val="auto"/>
        </w:rPr>
        <w:t>保险股份有限公司</w:t>
      </w:r>
      <w:r>
        <w:rPr>
          <w:rFonts w:hint="eastAsia" w:ascii="宋体"/>
          <w:color w:val="auto"/>
          <w:lang w:val="en-US" w:eastAsia="zh-CN"/>
        </w:rPr>
        <w:t>济南市中心支司</w:t>
      </w:r>
      <w:r>
        <w:rPr>
          <w:rFonts w:hint="eastAsia" w:ascii="宋体"/>
          <w:color w:val="auto"/>
        </w:rPr>
        <w:t>投保安全生产责任保险，保险期限2024年</w:t>
      </w:r>
      <w:r>
        <w:rPr>
          <w:rFonts w:hint="eastAsia" w:ascii="宋体"/>
          <w:color w:val="auto"/>
          <w:lang w:val="en-US" w:eastAsia="zh-CN"/>
        </w:rPr>
        <w:t>1</w:t>
      </w:r>
      <w:r>
        <w:rPr>
          <w:rFonts w:hint="eastAsia" w:ascii="宋体"/>
          <w:color w:val="auto"/>
        </w:rPr>
        <w:t>月</w:t>
      </w:r>
      <w:r>
        <w:rPr>
          <w:rFonts w:hint="eastAsia" w:ascii="宋体"/>
          <w:color w:val="auto"/>
          <w:lang w:val="en-US" w:eastAsia="zh-CN"/>
        </w:rPr>
        <w:t>29</w:t>
      </w:r>
      <w:r>
        <w:rPr>
          <w:rFonts w:hint="eastAsia" w:ascii="宋体"/>
          <w:color w:val="auto"/>
        </w:rPr>
        <w:t>日至2025年</w:t>
      </w:r>
      <w:r>
        <w:rPr>
          <w:rFonts w:hint="eastAsia" w:ascii="宋体"/>
          <w:color w:val="auto"/>
          <w:lang w:val="en-US" w:eastAsia="zh-CN"/>
        </w:rPr>
        <w:t>1</w:t>
      </w:r>
      <w:r>
        <w:rPr>
          <w:rFonts w:hint="eastAsia" w:ascii="宋体"/>
          <w:color w:val="auto"/>
        </w:rPr>
        <w:t>月2</w:t>
      </w:r>
      <w:r>
        <w:rPr>
          <w:rFonts w:hint="eastAsia" w:ascii="宋体"/>
          <w:color w:val="auto"/>
          <w:lang w:val="en-US" w:eastAsia="zh-CN"/>
        </w:rPr>
        <w:t>8</w:t>
      </w:r>
      <w:r>
        <w:rPr>
          <w:rFonts w:hint="eastAsia" w:ascii="宋体"/>
          <w:color w:val="auto"/>
        </w:rPr>
        <w:t>日，详见附件。</w:t>
      </w:r>
    </w:p>
    <w:p w14:paraId="648DCDB2">
      <w:pPr>
        <w:pStyle w:val="15"/>
        <w:keepLines w:val="0"/>
        <w:widowControl w:val="0"/>
        <w:shd w:val="clear"/>
        <w:wordWrap/>
        <w:overflowPunct/>
        <w:topLinePunct w:val="0"/>
        <w:bidi w:val="0"/>
        <w:adjustRightInd w:val="0"/>
        <w:snapToGrid w:val="0"/>
        <w:spacing w:line="360" w:lineRule="auto"/>
        <w:ind w:firstLine="560"/>
        <w:rPr>
          <w:rFonts w:hint="eastAsia" w:ascii="宋体"/>
          <w:strike w:val="0"/>
          <w:dstrike w:val="0"/>
          <w:color w:val="auto"/>
          <w:highlight w:val="none"/>
          <w:shd w:val="clear"/>
          <w:lang w:val="en-US" w:eastAsia="zh-CN"/>
        </w:rPr>
      </w:pPr>
      <w:r>
        <w:rPr>
          <w:rFonts w:hint="eastAsia" w:ascii="宋体"/>
          <w:strike w:val="0"/>
          <w:dstrike w:val="0"/>
          <w:color w:val="auto"/>
          <w:highlight w:val="none"/>
          <w:shd w:val="clear"/>
          <w:lang w:val="en-US" w:eastAsia="zh-CN"/>
        </w:rPr>
        <w:t>济南本安科技发展有限公司对该站的可燃气体探测器进行了相关检验，出具了合格的《检验报告》检验结果为：合格。检验日期为2024年5月，有效期至2025年5月。</w:t>
      </w:r>
    </w:p>
    <w:p w14:paraId="5F5F71A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rPr>
          <w:rFonts w:hint="eastAsia" w:ascii="宋体" w:hAnsi="宋体"/>
          <w:strike w:val="0"/>
          <w:dstrike w:val="0"/>
          <w:color w:val="auto"/>
          <w:sz w:val="28"/>
          <w:szCs w:val="28"/>
          <w:highlight w:val="none"/>
        </w:rPr>
      </w:pPr>
      <w:r>
        <w:rPr>
          <w:rFonts w:hint="eastAsia" w:ascii="宋体" w:hAnsi="宋体"/>
          <w:strike w:val="0"/>
          <w:dstrike w:val="0"/>
          <w:color w:val="auto"/>
          <w:sz w:val="28"/>
          <w:szCs w:val="28"/>
          <w:highlight w:val="none"/>
        </w:rPr>
        <w:t>该站编制了生产安全事故应急预案，于202</w:t>
      </w:r>
      <w:r>
        <w:rPr>
          <w:rFonts w:hint="eastAsia" w:ascii="宋体" w:hAnsi="宋体"/>
          <w:strike w:val="0"/>
          <w:dstrike w:val="0"/>
          <w:color w:val="auto"/>
          <w:sz w:val="28"/>
          <w:szCs w:val="28"/>
          <w:highlight w:val="none"/>
          <w:lang w:val="en-US" w:eastAsia="zh-CN"/>
        </w:rPr>
        <w:t>4年10</w:t>
      </w:r>
      <w:r>
        <w:rPr>
          <w:rFonts w:hint="eastAsia" w:ascii="宋体" w:hAnsi="宋体"/>
          <w:strike w:val="0"/>
          <w:dstrike w:val="0"/>
          <w:color w:val="auto"/>
          <w:sz w:val="28"/>
          <w:szCs w:val="28"/>
          <w:highlight w:val="none"/>
        </w:rPr>
        <w:t>月</w:t>
      </w:r>
      <w:r>
        <w:rPr>
          <w:rFonts w:hint="eastAsia" w:ascii="宋体" w:hAnsi="宋体"/>
          <w:strike w:val="0"/>
          <w:dstrike w:val="0"/>
          <w:color w:val="auto"/>
          <w:sz w:val="28"/>
          <w:szCs w:val="28"/>
          <w:highlight w:val="none"/>
          <w:lang w:val="en-US" w:eastAsia="zh-CN"/>
        </w:rPr>
        <w:t>22</w:t>
      </w:r>
      <w:r>
        <w:rPr>
          <w:rFonts w:hint="eastAsia" w:ascii="宋体" w:hAnsi="宋体"/>
          <w:strike w:val="0"/>
          <w:dstrike w:val="0"/>
          <w:color w:val="auto"/>
          <w:sz w:val="28"/>
          <w:szCs w:val="28"/>
          <w:highlight w:val="none"/>
        </w:rPr>
        <w:t>日在泰安市应急管理局进行了备案，备案编号为：3709</w:t>
      </w:r>
      <w:r>
        <w:rPr>
          <w:rFonts w:hint="eastAsia" w:ascii="宋体" w:hAnsi="宋体"/>
          <w:strike w:val="0"/>
          <w:dstrike w:val="0"/>
          <w:color w:val="auto"/>
          <w:sz w:val="28"/>
          <w:szCs w:val="28"/>
          <w:highlight w:val="none"/>
          <w:lang w:val="en-US" w:eastAsia="zh-CN"/>
        </w:rPr>
        <w:t>00</w:t>
      </w:r>
      <w:r>
        <w:rPr>
          <w:rFonts w:hint="eastAsia" w:ascii="宋体" w:hAnsi="宋体"/>
          <w:strike w:val="0"/>
          <w:dstrike w:val="0"/>
          <w:color w:val="auto"/>
          <w:sz w:val="28"/>
          <w:szCs w:val="28"/>
          <w:highlight w:val="none"/>
        </w:rPr>
        <w:t>-202</w:t>
      </w:r>
      <w:r>
        <w:rPr>
          <w:rFonts w:hint="eastAsia" w:ascii="宋体" w:hAnsi="宋体"/>
          <w:strike w:val="0"/>
          <w:dstrike w:val="0"/>
          <w:color w:val="auto"/>
          <w:sz w:val="28"/>
          <w:szCs w:val="28"/>
          <w:highlight w:val="none"/>
          <w:lang w:val="en-US" w:eastAsia="zh-CN"/>
        </w:rPr>
        <w:t>4</w:t>
      </w:r>
      <w:r>
        <w:rPr>
          <w:rFonts w:hint="eastAsia" w:ascii="宋体" w:hAnsi="宋体"/>
          <w:strike w:val="0"/>
          <w:dstrike w:val="0"/>
          <w:color w:val="auto"/>
          <w:sz w:val="28"/>
          <w:szCs w:val="28"/>
          <w:highlight w:val="none"/>
        </w:rPr>
        <w:t>-0</w:t>
      </w:r>
      <w:r>
        <w:rPr>
          <w:rFonts w:hint="eastAsia" w:ascii="宋体" w:hAnsi="宋体"/>
          <w:strike w:val="0"/>
          <w:dstrike w:val="0"/>
          <w:color w:val="auto"/>
          <w:sz w:val="28"/>
          <w:szCs w:val="28"/>
          <w:highlight w:val="none"/>
          <w:lang w:val="en-US" w:eastAsia="zh-CN"/>
        </w:rPr>
        <w:t>158</w:t>
      </w:r>
      <w:r>
        <w:rPr>
          <w:rFonts w:hint="eastAsia" w:ascii="宋体" w:hAnsi="宋体"/>
          <w:strike w:val="0"/>
          <w:dstrike w:val="0"/>
          <w:color w:val="auto"/>
          <w:sz w:val="28"/>
          <w:szCs w:val="28"/>
          <w:highlight w:val="none"/>
        </w:rPr>
        <w:t>，详见附件。</w:t>
      </w:r>
    </w:p>
    <w:p w14:paraId="2EEA1E4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rPr>
          <w:rFonts w:ascii="宋体" w:hAnsi="宋体"/>
          <w:strike w:val="0"/>
          <w:dstrike w:val="0"/>
          <w:color w:val="auto"/>
          <w:sz w:val="28"/>
          <w:szCs w:val="28"/>
          <w:highlight w:val="none"/>
        </w:rPr>
      </w:pPr>
      <w:r>
        <w:rPr>
          <w:rFonts w:hint="eastAsia" w:ascii="宋体" w:hAnsi="宋体"/>
          <w:strike w:val="0"/>
          <w:dstrike w:val="0"/>
          <w:color w:val="auto"/>
          <w:sz w:val="28"/>
          <w:szCs w:val="28"/>
          <w:highlight w:val="none"/>
        </w:rPr>
        <w:t>山东天科防雷工程有限公司对该站进行了相关防雷设施的检测，出具了合格的《雷电防护装置定期检测报告》，报告编号：（1122016001）</w:t>
      </w:r>
      <w:r>
        <w:rPr>
          <w:rFonts w:hint="eastAsia" w:ascii="宋体" w:hAnsi="宋体"/>
          <w:strike w:val="0"/>
          <w:dstrike w:val="0"/>
          <w:color w:val="auto"/>
          <w:sz w:val="28"/>
          <w:szCs w:val="28"/>
          <w:highlight w:val="none"/>
          <w:lang w:val="en-US" w:eastAsia="zh-CN"/>
        </w:rPr>
        <w:t>[</w:t>
      </w:r>
      <w:r>
        <w:rPr>
          <w:rFonts w:hint="eastAsia" w:ascii="宋体" w:hAnsi="宋体"/>
          <w:strike w:val="0"/>
          <w:dstrike w:val="0"/>
          <w:color w:val="auto"/>
          <w:sz w:val="28"/>
          <w:szCs w:val="28"/>
          <w:highlight w:val="none"/>
        </w:rPr>
        <w:t>2024</w:t>
      </w:r>
      <w:r>
        <w:rPr>
          <w:rFonts w:hint="eastAsia" w:ascii="宋体" w:hAnsi="宋体"/>
          <w:strike w:val="0"/>
          <w:dstrike w:val="0"/>
          <w:color w:val="auto"/>
          <w:sz w:val="28"/>
          <w:szCs w:val="28"/>
          <w:highlight w:val="none"/>
          <w:lang w:val="en-US" w:eastAsia="zh-CN"/>
        </w:rPr>
        <w:t>]</w:t>
      </w:r>
      <w:r>
        <w:rPr>
          <w:rFonts w:hint="eastAsia" w:ascii="宋体" w:hAnsi="宋体"/>
          <w:strike w:val="0"/>
          <w:dstrike w:val="0"/>
          <w:color w:val="auto"/>
          <w:sz w:val="28"/>
          <w:szCs w:val="28"/>
          <w:highlight w:val="none"/>
        </w:rPr>
        <w:t>TA</w:t>
      </w:r>
      <w:r>
        <w:rPr>
          <w:rFonts w:hint="eastAsia" w:ascii="宋体" w:hAnsi="宋体"/>
          <w:strike w:val="0"/>
          <w:dstrike w:val="0"/>
          <w:color w:val="auto"/>
          <w:sz w:val="28"/>
          <w:szCs w:val="28"/>
          <w:highlight w:val="none"/>
          <w:lang w:val="en-US" w:eastAsia="zh-CN"/>
        </w:rPr>
        <w:t>FC</w:t>
      </w:r>
      <w:r>
        <w:rPr>
          <w:rFonts w:hint="eastAsia" w:ascii="宋体" w:hAnsi="宋体"/>
          <w:strike w:val="0"/>
          <w:dstrike w:val="0"/>
          <w:color w:val="auto"/>
          <w:sz w:val="28"/>
          <w:szCs w:val="28"/>
          <w:highlight w:val="none"/>
        </w:rPr>
        <w:t>-</w:t>
      </w:r>
      <w:r>
        <w:rPr>
          <w:rFonts w:hint="eastAsia" w:ascii="宋体" w:hAnsi="宋体"/>
          <w:strike w:val="0"/>
          <w:dstrike w:val="0"/>
          <w:color w:val="auto"/>
          <w:sz w:val="28"/>
          <w:szCs w:val="28"/>
          <w:highlight w:val="none"/>
          <w:lang w:val="en-US" w:eastAsia="zh-CN"/>
        </w:rPr>
        <w:t>0277</w:t>
      </w:r>
      <w:r>
        <w:rPr>
          <w:rFonts w:hint="eastAsia" w:ascii="宋体" w:hAnsi="宋体"/>
          <w:strike w:val="0"/>
          <w:dstrike w:val="0"/>
          <w:color w:val="auto"/>
          <w:sz w:val="28"/>
          <w:szCs w:val="28"/>
          <w:highlight w:val="none"/>
        </w:rPr>
        <w:t>号，防雷类别：二类，结论为“合格：雷电防护装置符合现行国家防雷规范标准要求”，有效期至202</w:t>
      </w:r>
      <w:r>
        <w:rPr>
          <w:rFonts w:hint="eastAsia" w:ascii="宋体" w:hAnsi="宋体"/>
          <w:strike w:val="0"/>
          <w:dstrike w:val="0"/>
          <w:color w:val="auto"/>
          <w:sz w:val="28"/>
          <w:szCs w:val="28"/>
          <w:highlight w:val="none"/>
          <w:lang w:val="en-US" w:eastAsia="zh-CN"/>
        </w:rPr>
        <w:t>5</w:t>
      </w:r>
      <w:r>
        <w:rPr>
          <w:rFonts w:hint="eastAsia" w:ascii="宋体" w:hAnsi="宋体"/>
          <w:strike w:val="0"/>
          <w:dstrike w:val="0"/>
          <w:color w:val="auto"/>
          <w:sz w:val="28"/>
          <w:szCs w:val="28"/>
          <w:highlight w:val="none"/>
        </w:rPr>
        <w:t>年</w:t>
      </w:r>
      <w:r>
        <w:rPr>
          <w:rFonts w:hint="eastAsia" w:ascii="宋体" w:hAnsi="宋体"/>
          <w:strike w:val="0"/>
          <w:dstrike w:val="0"/>
          <w:color w:val="auto"/>
          <w:sz w:val="28"/>
          <w:szCs w:val="28"/>
          <w:highlight w:val="none"/>
          <w:lang w:val="en-US" w:eastAsia="zh-CN"/>
        </w:rPr>
        <w:t>04</w:t>
      </w:r>
      <w:r>
        <w:rPr>
          <w:rFonts w:hint="eastAsia" w:ascii="宋体" w:hAnsi="宋体"/>
          <w:strike w:val="0"/>
          <w:dstrike w:val="0"/>
          <w:color w:val="auto"/>
          <w:sz w:val="28"/>
          <w:szCs w:val="28"/>
          <w:highlight w:val="none"/>
        </w:rPr>
        <w:t>月</w:t>
      </w:r>
      <w:r>
        <w:rPr>
          <w:rFonts w:hint="eastAsia" w:ascii="宋体" w:hAnsi="宋体"/>
          <w:strike w:val="0"/>
          <w:dstrike w:val="0"/>
          <w:color w:val="auto"/>
          <w:sz w:val="28"/>
          <w:szCs w:val="28"/>
          <w:highlight w:val="none"/>
          <w:lang w:val="en-US" w:eastAsia="zh-CN"/>
        </w:rPr>
        <w:t>05</w:t>
      </w:r>
      <w:r>
        <w:rPr>
          <w:rFonts w:hint="eastAsia" w:ascii="宋体" w:hAnsi="宋体"/>
          <w:strike w:val="0"/>
          <w:dstrike w:val="0"/>
          <w:color w:val="auto"/>
          <w:sz w:val="28"/>
          <w:szCs w:val="28"/>
          <w:highlight w:val="none"/>
        </w:rPr>
        <w:t>日，检测报告</w:t>
      </w:r>
      <w:r>
        <w:rPr>
          <w:rFonts w:hint="eastAsia" w:ascii="宋体" w:hAnsi="宋体"/>
          <w:strike w:val="0"/>
          <w:dstrike w:val="0"/>
          <w:color w:val="auto"/>
          <w:sz w:val="28"/>
          <w:szCs w:val="28"/>
          <w:highlight w:val="none"/>
          <w:lang w:eastAsia="zh-CN"/>
        </w:rPr>
        <w:t>，</w:t>
      </w:r>
      <w:r>
        <w:rPr>
          <w:rFonts w:hint="eastAsia" w:ascii="宋体" w:hAnsi="宋体"/>
          <w:strike w:val="0"/>
          <w:dstrike w:val="0"/>
          <w:color w:val="auto"/>
          <w:sz w:val="28"/>
          <w:szCs w:val="28"/>
          <w:highlight w:val="none"/>
        </w:rPr>
        <w:t>见附件。</w:t>
      </w:r>
    </w:p>
    <w:p w14:paraId="4D79134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rPr>
          <w:rFonts w:hint="eastAsia" w:ascii="宋体" w:hAnsi="宋体"/>
          <w:strike w:val="0"/>
          <w:dstrike w:val="0"/>
          <w:color w:val="auto"/>
          <w:sz w:val="28"/>
          <w:szCs w:val="28"/>
          <w:highlight w:val="none"/>
        </w:rPr>
      </w:pPr>
      <w:r>
        <w:rPr>
          <w:rFonts w:hint="eastAsia" w:ascii="宋体" w:hAnsi="宋体"/>
          <w:strike w:val="0"/>
          <w:dstrike w:val="0"/>
          <w:color w:val="auto"/>
          <w:sz w:val="28"/>
          <w:szCs w:val="28"/>
          <w:highlight w:val="none"/>
        </w:rPr>
        <w:t>该站建立健全了安全生产责任制、安全生产规章制度和安全操作规程，执行情况较好。</w:t>
      </w:r>
    </w:p>
    <w:p w14:paraId="5F2AE7A6">
      <w:pPr>
        <w:pStyle w:val="16"/>
        <w:keepNext w:val="0"/>
        <w:keepLines w:val="0"/>
        <w:pageBreakBefore/>
        <w:widowControl/>
        <w:kinsoku/>
        <w:wordWrap/>
        <w:overflowPunct/>
        <w:topLinePunct w:val="0"/>
        <w:autoSpaceDE/>
        <w:autoSpaceDN/>
        <w:bidi w:val="0"/>
        <w:adjustRightInd w:val="0"/>
        <w:snapToGrid w:val="0"/>
        <w:spacing w:before="312" w:after="312" w:line="360" w:lineRule="auto"/>
        <w:textAlignment w:val="auto"/>
        <w:rPr>
          <w:rFonts w:hint="eastAsia" w:ascii="宋体" w:hAnsi="宋体"/>
          <w:strike w:val="0"/>
          <w:dstrike w:val="0"/>
          <w:color w:val="auto"/>
          <w:sz w:val="28"/>
          <w:szCs w:val="28"/>
          <w:highlight w:val="none"/>
        </w:rPr>
      </w:pPr>
      <w:r>
        <w:rPr>
          <w:rFonts w:hint="eastAsia" w:ascii="宋体" w:hAnsi="宋体"/>
          <w:strike w:val="0"/>
          <w:dstrike w:val="0"/>
          <w:color w:val="auto"/>
          <w:sz w:val="28"/>
          <w:szCs w:val="28"/>
          <w:highlight w:val="none"/>
        </w:rPr>
        <w:t>该站各项安全管理制度健全，有生产经营单位生产事故应急预案，并定期进行应急救援演练。该加油站消防器材配备齐全，加油站配备了35kg推车式干粉灭火器</w:t>
      </w:r>
      <w:r>
        <w:rPr>
          <w:rFonts w:hint="eastAsia" w:ascii="宋体" w:hAnsi="宋体"/>
          <w:strike w:val="0"/>
          <w:dstrike w:val="0"/>
          <w:color w:val="auto"/>
          <w:sz w:val="28"/>
          <w:szCs w:val="28"/>
          <w:highlight w:val="none"/>
          <w:lang w:val="en-US" w:eastAsia="zh-CN"/>
        </w:rPr>
        <w:t>1</w:t>
      </w:r>
      <w:r>
        <w:rPr>
          <w:rFonts w:hint="eastAsia" w:ascii="宋体" w:hAnsi="宋体"/>
          <w:strike w:val="0"/>
          <w:dstrike w:val="0"/>
          <w:color w:val="auto"/>
          <w:sz w:val="28"/>
          <w:szCs w:val="28"/>
          <w:highlight w:val="none"/>
        </w:rPr>
        <w:t>具，</w:t>
      </w:r>
      <w:r>
        <w:rPr>
          <w:rFonts w:hint="eastAsia" w:ascii="宋体" w:hAnsi="宋体"/>
          <w:strike w:val="0"/>
          <w:dstrike w:val="0"/>
          <w:color w:val="auto"/>
          <w:sz w:val="28"/>
          <w:szCs w:val="28"/>
          <w:highlight w:val="none"/>
          <w:lang w:val="en-US" w:eastAsia="zh-CN"/>
        </w:rPr>
        <w:t>5</w:t>
      </w:r>
      <w:r>
        <w:rPr>
          <w:rFonts w:hint="eastAsia" w:ascii="宋体" w:hAnsi="宋体"/>
          <w:strike w:val="0"/>
          <w:dstrike w:val="0"/>
          <w:color w:val="auto"/>
          <w:sz w:val="28"/>
          <w:szCs w:val="28"/>
          <w:highlight w:val="none"/>
        </w:rPr>
        <w:t>kg手提式干粉灭火器</w:t>
      </w:r>
      <w:r>
        <w:rPr>
          <w:rFonts w:hint="eastAsia" w:ascii="宋体" w:hAnsi="宋体"/>
          <w:strike w:val="0"/>
          <w:dstrike w:val="0"/>
          <w:color w:val="auto"/>
          <w:sz w:val="28"/>
          <w:szCs w:val="28"/>
          <w:highlight w:val="none"/>
          <w:lang w:val="en-US" w:eastAsia="zh-CN"/>
        </w:rPr>
        <w:t>10</w:t>
      </w:r>
      <w:r>
        <w:rPr>
          <w:rFonts w:hint="eastAsia" w:ascii="宋体" w:hAnsi="宋体"/>
          <w:strike w:val="0"/>
          <w:dstrike w:val="0"/>
          <w:color w:val="auto"/>
          <w:sz w:val="28"/>
          <w:szCs w:val="28"/>
          <w:highlight w:val="none"/>
        </w:rPr>
        <w:t>具，</w:t>
      </w:r>
      <w:r>
        <w:rPr>
          <w:rFonts w:hint="eastAsia" w:ascii="宋体" w:hAnsi="宋体" w:cs="宋体"/>
          <w:bCs/>
          <w:strike w:val="0"/>
          <w:dstrike w:val="0"/>
          <w:color w:val="auto"/>
          <w:sz w:val="28"/>
          <w:szCs w:val="28"/>
          <w:highlight w:val="none"/>
        </w:rPr>
        <w:t>CO</w:t>
      </w:r>
      <w:r>
        <w:rPr>
          <w:rFonts w:hint="eastAsia" w:ascii="宋体" w:hAnsi="宋体" w:cs="宋体"/>
          <w:bCs/>
          <w:strike w:val="0"/>
          <w:dstrike w:val="0"/>
          <w:color w:val="auto"/>
          <w:sz w:val="28"/>
          <w:szCs w:val="28"/>
          <w:highlight w:val="none"/>
          <w:vertAlign w:val="subscript"/>
        </w:rPr>
        <w:t>2</w:t>
      </w:r>
      <w:r>
        <w:rPr>
          <w:rFonts w:hint="eastAsia" w:ascii="宋体" w:hAnsi="宋体"/>
          <w:strike w:val="0"/>
          <w:dstrike w:val="0"/>
          <w:color w:val="auto"/>
          <w:sz w:val="28"/>
          <w:szCs w:val="28"/>
          <w:highlight w:val="none"/>
        </w:rPr>
        <w:t>灭火器</w:t>
      </w:r>
      <w:r>
        <w:rPr>
          <w:rFonts w:hint="eastAsia" w:ascii="宋体" w:hAnsi="宋体"/>
          <w:strike w:val="0"/>
          <w:dstrike w:val="0"/>
          <w:color w:val="auto"/>
          <w:sz w:val="28"/>
          <w:szCs w:val="28"/>
          <w:highlight w:val="none"/>
          <w:lang w:val="en-US" w:eastAsia="zh-CN"/>
        </w:rPr>
        <w:t>6</w:t>
      </w:r>
      <w:r>
        <w:rPr>
          <w:rFonts w:hint="eastAsia" w:ascii="宋体" w:hAnsi="宋体"/>
          <w:strike w:val="0"/>
          <w:dstrike w:val="0"/>
          <w:color w:val="auto"/>
          <w:sz w:val="28"/>
          <w:szCs w:val="28"/>
          <w:highlight w:val="none"/>
        </w:rPr>
        <w:t>具，灭火毯</w:t>
      </w:r>
      <w:r>
        <w:rPr>
          <w:rFonts w:hint="eastAsia" w:ascii="宋体" w:hAnsi="宋体"/>
          <w:strike w:val="0"/>
          <w:dstrike w:val="0"/>
          <w:color w:val="auto"/>
          <w:sz w:val="28"/>
          <w:szCs w:val="28"/>
          <w:highlight w:val="none"/>
          <w:lang w:val="en-US" w:eastAsia="zh-CN"/>
        </w:rPr>
        <w:t>4</w:t>
      </w:r>
      <w:r>
        <w:rPr>
          <w:rFonts w:hint="eastAsia" w:ascii="宋体" w:hAnsi="宋体"/>
          <w:strike w:val="0"/>
          <w:dstrike w:val="0"/>
          <w:color w:val="auto"/>
          <w:sz w:val="28"/>
          <w:szCs w:val="28"/>
          <w:highlight w:val="none"/>
        </w:rPr>
        <w:t>块，消防锨</w:t>
      </w:r>
      <w:r>
        <w:rPr>
          <w:rFonts w:hint="eastAsia" w:ascii="宋体" w:hAnsi="宋体"/>
          <w:strike w:val="0"/>
          <w:dstrike w:val="0"/>
          <w:color w:val="auto"/>
          <w:sz w:val="28"/>
          <w:szCs w:val="28"/>
          <w:highlight w:val="none"/>
          <w:lang w:val="en-US" w:eastAsia="zh-CN"/>
        </w:rPr>
        <w:t>3</w:t>
      </w:r>
      <w:r>
        <w:rPr>
          <w:rFonts w:hint="eastAsia" w:ascii="宋体" w:hAnsi="宋体"/>
          <w:strike w:val="0"/>
          <w:dstrike w:val="0"/>
          <w:color w:val="auto"/>
          <w:sz w:val="28"/>
          <w:szCs w:val="28"/>
          <w:highlight w:val="none"/>
        </w:rPr>
        <w:t>把，消防桶2个，消防沙池2</w:t>
      </w:r>
      <w:r>
        <w:rPr>
          <w:rFonts w:hint="eastAsia" w:ascii="宋体" w:hAnsi="宋体" w:eastAsia="宋体" w:cs="宋体"/>
          <w:bCs/>
          <w:strike w:val="0"/>
          <w:dstrike w:val="0"/>
          <w:color w:val="auto"/>
          <w:sz w:val="28"/>
          <w:szCs w:val="28"/>
          <w:highlight w:val="none"/>
        </w:rPr>
        <w:t>m</w:t>
      </w:r>
      <w:r>
        <w:rPr>
          <w:rFonts w:hint="eastAsia" w:ascii="宋体" w:hAnsi="宋体" w:eastAsia="宋体" w:cs="宋体"/>
          <w:strike w:val="0"/>
          <w:dstrike w:val="0"/>
          <w:color w:val="auto"/>
          <w:sz w:val="28"/>
          <w:szCs w:val="28"/>
          <w:highlight w:val="none"/>
          <w:vertAlign w:val="superscript"/>
        </w:rPr>
        <w:t>3</w:t>
      </w:r>
      <w:r>
        <w:rPr>
          <w:rFonts w:hint="eastAsia" w:ascii="宋体" w:hAnsi="宋体"/>
          <w:strike w:val="0"/>
          <w:dstrike w:val="0"/>
          <w:color w:val="auto"/>
          <w:sz w:val="28"/>
          <w:szCs w:val="28"/>
          <w:highlight w:val="none"/>
        </w:rPr>
        <w:t>。</w:t>
      </w:r>
      <w:bookmarkStart w:id="10" w:name="_Toc102633906"/>
      <w:bookmarkStart w:id="11" w:name="_Toc102634255"/>
      <w:bookmarkStart w:id="12" w:name="_Toc102634406"/>
      <w:bookmarkStart w:id="13" w:name="_Toc1454"/>
      <w:bookmarkStart w:id="14" w:name="_Toc102633980"/>
    </w:p>
    <w:p w14:paraId="092D62AB">
      <w:pPr>
        <w:pStyle w:val="16"/>
        <w:keepNext w:val="0"/>
        <w:keepLines w:val="0"/>
        <w:pageBreakBefore/>
        <w:widowControl/>
        <w:kinsoku/>
        <w:wordWrap/>
        <w:overflowPunct/>
        <w:topLinePunct w:val="0"/>
        <w:autoSpaceDE/>
        <w:autoSpaceDN/>
        <w:bidi w:val="0"/>
        <w:adjustRightInd w:val="0"/>
        <w:snapToGrid w:val="0"/>
        <w:spacing w:before="312" w:after="312" w:line="360" w:lineRule="auto"/>
        <w:textAlignment w:val="auto"/>
        <w:rPr>
          <w:rFonts w:hint="eastAsia"/>
          <w:strike w:val="0"/>
          <w:dstrike w:val="0"/>
          <w:color w:val="auto"/>
          <w:highlight w:val="none"/>
        </w:rPr>
      </w:pPr>
      <w:r>
        <w:rPr>
          <w:rFonts w:hint="eastAsia"/>
          <w:strike w:val="0"/>
          <w:dstrike w:val="0"/>
          <w:color w:val="auto"/>
          <w:highlight w:val="none"/>
        </w:rPr>
        <w:t>第四章 评价单元划分与评价方法选择</w:t>
      </w:r>
      <w:bookmarkEnd w:id="10"/>
      <w:bookmarkEnd w:id="11"/>
      <w:bookmarkEnd w:id="12"/>
      <w:bookmarkEnd w:id="13"/>
      <w:bookmarkEnd w:id="14"/>
    </w:p>
    <w:p w14:paraId="47BF2272">
      <w:pPr>
        <w:pStyle w:val="4"/>
        <w:keepNext w:val="0"/>
        <w:keepLines w:val="0"/>
        <w:pageBreakBefore w:val="0"/>
        <w:widowControl w:val="0"/>
        <w:kinsoku/>
        <w:wordWrap/>
        <w:overflowPunct/>
        <w:topLinePunct w:val="0"/>
        <w:autoSpaceDE/>
        <w:autoSpaceDN/>
        <w:bidi w:val="0"/>
        <w:adjustRightInd w:val="0"/>
        <w:snapToGrid w:val="0"/>
        <w:spacing w:before="312" w:beforeLines="100" w:after="312" w:afterLines="100" w:line="360" w:lineRule="auto"/>
        <w:ind w:firstLine="0"/>
        <w:textAlignment w:val="auto"/>
        <w:rPr>
          <w:rFonts w:hint="eastAsia"/>
          <w:strike w:val="0"/>
          <w:dstrike w:val="0"/>
          <w:color w:val="auto"/>
          <w:highlight w:val="none"/>
        </w:rPr>
      </w:pPr>
      <w:bookmarkStart w:id="15" w:name="_Toc272364536"/>
      <w:bookmarkStart w:id="16" w:name="_Toc7829"/>
      <w:bookmarkStart w:id="17" w:name="_Toc102634407"/>
      <w:bookmarkStart w:id="18" w:name="_Toc23543"/>
      <w:bookmarkStart w:id="19" w:name="_Toc102633981"/>
      <w:bookmarkStart w:id="20" w:name="_Toc198026273"/>
      <w:bookmarkStart w:id="21" w:name="_Toc102633907"/>
      <w:bookmarkStart w:id="22" w:name="_Toc102634256"/>
      <w:bookmarkStart w:id="23" w:name="_Toc192907201"/>
      <w:bookmarkStart w:id="24" w:name="_Toc12643"/>
      <w:bookmarkStart w:id="25" w:name="_Toc238007574"/>
      <w:bookmarkStart w:id="26" w:name="_Toc15033754"/>
      <w:r>
        <w:rPr>
          <w:rFonts w:hint="eastAsia"/>
          <w:strike w:val="0"/>
          <w:dstrike w:val="0"/>
          <w:color w:val="auto"/>
          <w:highlight w:val="none"/>
        </w:rPr>
        <w:t>第一节 评价单元的划分</w:t>
      </w:r>
      <w:bookmarkEnd w:id="15"/>
      <w:bookmarkEnd w:id="16"/>
      <w:bookmarkEnd w:id="17"/>
      <w:bookmarkEnd w:id="18"/>
      <w:bookmarkEnd w:id="19"/>
      <w:bookmarkEnd w:id="20"/>
      <w:bookmarkEnd w:id="21"/>
      <w:bookmarkEnd w:id="22"/>
      <w:bookmarkEnd w:id="23"/>
      <w:bookmarkEnd w:id="24"/>
      <w:bookmarkEnd w:id="25"/>
      <w:bookmarkEnd w:id="26"/>
    </w:p>
    <w:p w14:paraId="11C77370">
      <w:pPr>
        <w:pStyle w:val="15"/>
        <w:keepLines w:val="0"/>
        <w:widowControl w:val="0"/>
        <w:wordWrap/>
        <w:overflowPunct/>
        <w:topLinePunct w:val="0"/>
        <w:bidi w:val="0"/>
        <w:adjustRightInd w:val="0"/>
        <w:snapToGrid w:val="0"/>
        <w:spacing w:line="360" w:lineRule="auto"/>
        <w:ind w:firstLine="560"/>
        <w:rPr>
          <w:rFonts w:ascii="宋体"/>
          <w:strike w:val="0"/>
          <w:dstrike w:val="0"/>
          <w:color w:val="auto"/>
          <w:highlight w:val="none"/>
        </w:rPr>
      </w:pPr>
      <w:r>
        <w:rPr>
          <w:rFonts w:hint="eastAsia" w:ascii="宋体"/>
          <w:strike w:val="0"/>
          <w:dstrike w:val="0"/>
          <w:color w:val="auto"/>
          <w:highlight w:val="none"/>
          <w:lang w:val="en-US" w:eastAsia="zh-CN"/>
        </w:rPr>
        <w:t>划分评价单元时，一般以生产工艺、工艺装置、物料的特点和特征与危险有害因素的类别、分布有机结合起来进行划分，还可以按评价的要求将一个评价单元再划分为若干个子单元或更细致的单元，评价单元相对独立，具有明显的特征界限。下面是两种常用的评价单元划分原则和方法</w:t>
      </w:r>
      <w:r>
        <w:rPr>
          <w:rFonts w:ascii="宋体"/>
          <w:strike w:val="0"/>
          <w:dstrike w:val="0"/>
          <w:color w:val="auto"/>
          <w:highlight w:val="none"/>
        </w:rPr>
        <w:t>。</w:t>
      </w:r>
    </w:p>
    <w:p w14:paraId="4782C98F">
      <w:pPr>
        <w:pStyle w:val="20"/>
        <w:keepLines w:val="0"/>
        <w:widowControl w:val="0"/>
        <w:wordWrap/>
        <w:overflowPunct/>
        <w:topLinePunct w:val="0"/>
        <w:bidi w:val="0"/>
        <w:adjustRightInd w:val="0"/>
        <w:snapToGrid w:val="0"/>
        <w:spacing w:line="360" w:lineRule="auto"/>
        <w:ind w:firstLine="560"/>
        <w:jc w:val="both"/>
        <w:rPr>
          <w:strike w:val="0"/>
          <w:dstrike w:val="0"/>
          <w:color w:val="auto"/>
          <w:highlight w:val="none"/>
        </w:rPr>
      </w:pPr>
      <w:bookmarkStart w:id="27" w:name="_Toc102634257"/>
      <w:r>
        <w:rPr>
          <w:rFonts w:hint="eastAsia"/>
          <w:strike w:val="0"/>
          <w:dstrike w:val="0"/>
          <w:color w:val="auto"/>
          <w:highlight w:val="none"/>
        </w:rPr>
        <w:t>一</w:t>
      </w:r>
      <w:r>
        <w:rPr>
          <w:strike w:val="0"/>
          <w:dstrike w:val="0"/>
          <w:color w:val="auto"/>
          <w:highlight w:val="none"/>
        </w:rPr>
        <w:t>、以危险有害因素的类别为主划分评价单元</w:t>
      </w:r>
      <w:bookmarkEnd w:id="27"/>
    </w:p>
    <w:p w14:paraId="1FEF3AC4">
      <w:pPr>
        <w:pStyle w:val="15"/>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strike w:val="0"/>
          <w:dstrike w:val="0"/>
          <w:color w:val="auto"/>
          <w:highlight w:val="none"/>
          <w:lang w:val="en-US" w:eastAsia="zh-CN"/>
        </w:rPr>
      </w:pPr>
      <w:r>
        <w:rPr>
          <w:rFonts w:hint="eastAsia" w:ascii="宋体"/>
          <w:strike w:val="0"/>
          <w:dstrike w:val="0"/>
          <w:color w:val="auto"/>
          <w:highlight w:val="none"/>
          <w:lang w:val="en-US" w:eastAsia="zh-CN"/>
        </w:rPr>
        <w:t>1、对工艺方案、总体布置及自然条件、社会环境等影响系统的危险有害因素的分析和评价，宜将整个系统作为一个评价单元。</w:t>
      </w:r>
    </w:p>
    <w:p w14:paraId="4660D62E">
      <w:pPr>
        <w:pStyle w:val="15"/>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宋体"/>
          <w:strike w:val="0"/>
          <w:dstrike w:val="0"/>
          <w:color w:val="auto"/>
          <w:highlight w:val="none"/>
        </w:rPr>
      </w:pPr>
      <w:r>
        <w:rPr>
          <w:rFonts w:hint="eastAsia" w:ascii="宋体"/>
          <w:strike w:val="0"/>
          <w:dstrike w:val="0"/>
          <w:color w:val="auto"/>
          <w:highlight w:val="none"/>
          <w:lang w:val="en-US" w:eastAsia="zh-CN"/>
        </w:rPr>
        <w:t>2、将具有共性危险有害因素的场所和装置划分为一个评价单元。</w:t>
      </w:r>
    </w:p>
    <w:p w14:paraId="18ADB1C9">
      <w:pPr>
        <w:pStyle w:val="20"/>
        <w:keepLines w:val="0"/>
        <w:widowControl w:val="0"/>
        <w:wordWrap/>
        <w:overflowPunct/>
        <w:topLinePunct w:val="0"/>
        <w:bidi w:val="0"/>
        <w:adjustRightInd w:val="0"/>
        <w:snapToGrid w:val="0"/>
        <w:spacing w:line="360" w:lineRule="auto"/>
        <w:ind w:firstLine="560"/>
        <w:jc w:val="both"/>
        <w:rPr>
          <w:strike w:val="0"/>
          <w:dstrike w:val="0"/>
          <w:color w:val="auto"/>
          <w:highlight w:val="none"/>
        </w:rPr>
      </w:pPr>
      <w:bookmarkStart w:id="28" w:name="_Toc102634258"/>
      <w:r>
        <w:rPr>
          <w:rFonts w:hint="eastAsia"/>
          <w:strike w:val="0"/>
          <w:dstrike w:val="0"/>
          <w:color w:val="auto"/>
          <w:highlight w:val="none"/>
        </w:rPr>
        <w:t>二</w:t>
      </w:r>
      <w:r>
        <w:rPr>
          <w:strike w:val="0"/>
          <w:dstrike w:val="0"/>
          <w:color w:val="auto"/>
          <w:highlight w:val="none"/>
        </w:rPr>
        <w:t>、以物质特征划分评价单元</w:t>
      </w:r>
      <w:bookmarkEnd w:id="28"/>
    </w:p>
    <w:p w14:paraId="551ABDB3">
      <w:pPr>
        <w:pStyle w:val="15"/>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strike w:val="0"/>
          <w:dstrike w:val="0"/>
          <w:color w:val="auto"/>
          <w:highlight w:val="none"/>
          <w:lang w:val="en-US" w:eastAsia="zh-CN"/>
        </w:rPr>
      </w:pPr>
      <w:r>
        <w:rPr>
          <w:rFonts w:hint="eastAsia" w:ascii="宋体"/>
          <w:strike w:val="0"/>
          <w:dstrike w:val="0"/>
          <w:color w:val="auto"/>
          <w:highlight w:val="none"/>
          <w:lang w:val="en-US" w:eastAsia="zh-CN"/>
        </w:rPr>
        <w:t>评价过程中常按装置工艺功能、布置的相对独立性、工艺条件及贮存、处理危险物质的潜在化学能、毒性和危险物质的数量等划分评价单元。</w:t>
      </w:r>
    </w:p>
    <w:p w14:paraId="511C9426">
      <w:pPr>
        <w:pStyle w:val="15"/>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strike w:val="0"/>
          <w:dstrike w:val="0"/>
          <w:color w:val="auto"/>
          <w:highlight w:val="none"/>
          <w:lang w:val="en-US" w:eastAsia="zh-CN"/>
        </w:rPr>
      </w:pPr>
      <w:r>
        <w:rPr>
          <w:rFonts w:hint="eastAsia" w:ascii="宋体"/>
          <w:strike w:val="0"/>
          <w:dstrike w:val="0"/>
          <w:color w:val="auto"/>
          <w:highlight w:val="none"/>
          <w:lang w:val="en-US" w:eastAsia="zh-CN"/>
        </w:rPr>
        <w:t>由于评价要求和目的不同，并且各类评价方法均有自身的特点，只要达到评价目的，评价单元的划分并不要求绝对一致。</w:t>
      </w:r>
    </w:p>
    <w:p w14:paraId="054FA617">
      <w:pPr>
        <w:pStyle w:val="15"/>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strike w:val="0"/>
          <w:dstrike w:val="0"/>
          <w:color w:val="auto"/>
          <w:highlight w:val="none"/>
          <w:lang w:val="en-US" w:eastAsia="zh-CN"/>
        </w:rPr>
      </w:pPr>
      <w:r>
        <w:rPr>
          <w:rFonts w:hint="eastAsia" w:ascii="宋体"/>
          <w:strike w:val="0"/>
          <w:dstrike w:val="0"/>
          <w:color w:val="auto"/>
          <w:highlight w:val="none"/>
          <w:lang w:val="en-US" w:eastAsia="zh-CN"/>
        </w:rPr>
        <w:t>根据上述常用的评价单元划分原则和方法，以及《安全评价通则》中关于安全评价报告主要内容和要求的规定结合该项目的特点和实际情况，将评价内容划分为以下五个单元：</w:t>
      </w:r>
    </w:p>
    <w:p w14:paraId="014E9FF3">
      <w:pPr>
        <w:pStyle w:val="15"/>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strike w:val="0"/>
          <w:dstrike w:val="0"/>
          <w:color w:val="auto"/>
          <w:highlight w:val="none"/>
          <w:lang w:val="en-US" w:eastAsia="zh-CN"/>
        </w:rPr>
      </w:pPr>
      <w:r>
        <w:rPr>
          <w:rFonts w:hint="eastAsia" w:ascii="宋体"/>
          <w:strike w:val="0"/>
          <w:dstrike w:val="0"/>
          <w:color w:val="auto"/>
          <w:highlight w:val="none"/>
          <w:lang w:val="en-US" w:eastAsia="zh-CN"/>
        </w:rPr>
        <w:t>1、安全管理；</w:t>
      </w:r>
    </w:p>
    <w:p w14:paraId="419FAA1A">
      <w:pPr>
        <w:pStyle w:val="15"/>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strike w:val="0"/>
          <w:dstrike w:val="0"/>
          <w:color w:val="auto"/>
          <w:highlight w:val="none"/>
          <w:lang w:val="en-US" w:eastAsia="zh-CN"/>
        </w:rPr>
      </w:pPr>
      <w:r>
        <w:rPr>
          <w:rFonts w:hint="eastAsia" w:ascii="宋体"/>
          <w:strike w:val="0"/>
          <w:dstrike w:val="0"/>
          <w:color w:val="auto"/>
          <w:highlight w:val="none"/>
          <w:lang w:val="en-US" w:eastAsia="zh-CN"/>
        </w:rPr>
        <w:t>2、站址选择及总平面布置；</w:t>
      </w:r>
    </w:p>
    <w:p w14:paraId="5BB5C4DB">
      <w:pPr>
        <w:pStyle w:val="15"/>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strike w:val="0"/>
          <w:dstrike w:val="0"/>
          <w:color w:val="auto"/>
          <w:highlight w:val="none"/>
          <w:lang w:val="en-US" w:eastAsia="zh-CN"/>
        </w:rPr>
      </w:pPr>
      <w:r>
        <w:rPr>
          <w:rFonts w:hint="eastAsia" w:ascii="宋体"/>
          <w:strike w:val="0"/>
          <w:dstrike w:val="0"/>
          <w:color w:val="auto"/>
          <w:highlight w:val="none"/>
          <w:lang w:val="en-US" w:eastAsia="zh-CN"/>
        </w:rPr>
        <w:t>3、加油工艺及设施；</w:t>
      </w:r>
    </w:p>
    <w:p w14:paraId="55DC3880">
      <w:pPr>
        <w:pStyle w:val="15"/>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strike w:val="0"/>
          <w:dstrike w:val="0"/>
          <w:color w:val="auto"/>
          <w:highlight w:val="none"/>
          <w:lang w:val="en-US" w:eastAsia="zh-CN"/>
        </w:rPr>
      </w:pPr>
      <w:r>
        <w:rPr>
          <w:rFonts w:hint="eastAsia" w:ascii="宋体"/>
          <w:strike w:val="0"/>
          <w:dstrike w:val="0"/>
          <w:color w:val="auto"/>
          <w:highlight w:val="none"/>
          <w:lang w:val="en-US" w:eastAsia="zh-CN"/>
        </w:rPr>
        <w:t>4、其它安全设施等。</w:t>
      </w:r>
    </w:p>
    <w:p w14:paraId="54C90BE8">
      <w:pPr>
        <w:pStyle w:val="15"/>
        <w:keepLines w:val="0"/>
        <w:widowControl w:val="0"/>
        <w:wordWrap/>
        <w:overflowPunct/>
        <w:topLinePunct w:val="0"/>
        <w:bidi w:val="0"/>
        <w:adjustRightInd w:val="0"/>
        <w:snapToGrid w:val="0"/>
        <w:spacing w:line="360" w:lineRule="auto"/>
        <w:ind w:firstLine="560"/>
        <w:rPr>
          <w:rFonts w:ascii="宋体"/>
          <w:strike w:val="0"/>
          <w:dstrike w:val="0"/>
          <w:color w:val="auto"/>
          <w:highlight w:val="none"/>
        </w:rPr>
      </w:pPr>
    </w:p>
    <w:p w14:paraId="0B8D8604">
      <w:pPr>
        <w:pStyle w:val="4"/>
        <w:keepNext w:val="0"/>
        <w:keepLines w:val="0"/>
        <w:pageBreakBefore w:val="0"/>
        <w:widowControl w:val="0"/>
        <w:kinsoku/>
        <w:wordWrap/>
        <w:overflowPunct/>
        <w:topLinePunct w:val="0"/>
        <w:autoSpaceDE/>
        <w:autoSpaceDN/>
        <w:bidi w:val="0"/>
        <w:adjustRightInd w:val="0"/>
        <w:snapToGrid w:val="0"/>
        <w:spacing w:before="312" w:beforeLines="100" w:after="312" w:afterLines="100" w:line="360" w:lineRule="auto"/>
        <w:ind w:firstLine="0"/>
        <w:textAlignment w:val="auto"/>
        <w:rPr>
          <w:rFonts w:hint="eastAsia"/>
          <w:strike w:val="0"/>
          <w:dstrike w:val="0"/>
          <w:color w:val="auto"/>
          <w:highlight w:val="none"/>
          <w:lang w:val="en-US" w:eastAsia="zh-CN"/>
        </w:rPr>
      </w:pPr>
      <w:bookmarkStart w:id="29" w:name="_Toc22810"/>
      <w:bookmarkStart w:id="30" w:name="_Toc102634408"/>
      <w:bookmarkStart w:id="31" w:name="_Toc102633908"/>
      <w:bookmarkStart w:id="32" w:name="_Toc102634259"/>
      <w:bookmarkStart w:id="33" w:name="_Toc102633982"/>
      <w:r>
        <w:rPr>
          <w:rFonts w:hint="eastAsia"/>
          <w:strike w:val="0"/>
          <w:dstrike w:val="0"/>
          <w:color w:val="auto"/>
          <w:highlight w:val="none"/>
          <w:lang w:val="en-US" w:eastAsia="zh-CN"/>
        </w:rPr>
        <w:t>第二节 评价方法的选择</w:t>
      </w:r>
      <w:bookmarkEnd w:id="29"/>
      <w:bookmarkEnd w:id="30"/>
      <w:bookmarkEnd w:id="31"/>
      <w:bookmarkEnd w:id="32"/>
      <w:bookmarkEnd w:id="33"/>
    </w:p>
    <w:p w14:paraId="063E2820">
      <w:pPr>
        <w:pStyle w:val="15"/>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strike w:val="0"/>
          <w:dstrike w:val="0"/>
          <w:color w:val="auto"/>
          <w:highlight w:val="none"/>
          <w:lang w:val="en-US" w:eastAsia="zh-CN"/>
        </w:rPr>
      </w:pPr>
      <w:r>
        <w:rPr>
          <w:rFonts w:hint="eastAsia" w:ascii="宋体"/>
          <w:strike w:val="0"/>
          <w:dstrike w:val="0"/>
          <w:color w:val="auto"/>
          <w:highlight w:val="none"/>
          <w:lang w:val="en-US" w:eastAsia="zh-CN"/>
        </w:rPr>
        <w:t>在进行安全评价时，应该在认真分析并熟悉评价系统的前提下，选择安全评价方法。选择安全评价方法应遵循充分性、系统性、针对性和合理性的原则。</w:t>
      </w:r>
    </w:p>
    <w:p w14:paraId="43F74BEB">
      <w:pPr>
        <w:pStyle w:val="15"/>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strike w:val="0"/>
          <w:dstrike w:val="0"/>
          <w:color w:val="auto"/>
          <w:highlight w:val="none"/>
          <w:lang w:val="en-US" w:eastAsia="zh-CN"/>
        </w:rPr>
      </w:pPr>
      <w:r>
        <w:rPr>
          <w:rFonts w:hint="eastAsia" w:ascii="宋体"/>
          <w:strike w:val="0"/>
          <w:dstrike w:val="0"/>
          <w:color w:val="auto"/>
          <w:highlight w:val="none"/>
          <w:lang w:val="en-US" w:eastAsia="zh-CN"/>
        </w:rPr>
        <w:t>在选择安全评价方法时，应首先详细分析被评价的系统，明确通过安全评价要达到的目标，即通过安全评价需要给出哪些、什么样的安全评价结果；然后应收集尽量多的安全评价方法，将安全评价方法进行分类整理，明确被评价的系统能够提供的基础数据、工艺和其它资料；再根据安全评价要达到的目标以及所需的基础数据、工艺和其它资料，选择适用的安全评价方法。</w:t>
      </w:r>
    </w:p>
    <w:p w14:paraId="11F92386">
      <w:pPr>
        <w:pStyle w:val="15"/>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strike w:val="0"/>
          <w:dstrike w:val="0"/>
          <w:color w:val="auto"/>
          <w:highlight w:val="none"/>
          <w:lang w:val="en-US" w:eastAsia="zh-CN"/>
        </w:rPr>
      </w:pPr>
      <w:r>
        <w:rPr>
          <w:rFonts w:hint="eastAsia" w:ascii="宋体"/>
          <w:strike w:val="0"/>
          <w:dstrike w:val="0"/>
          <w:color w:val="auto"/>
          <w:highlight w:val="none"/>
          <w:lang w:val="en-US" w:eastAsia="zh-CN"/>
        </w:rPr>
        <w:t>根据本次安全评价的特点，结合中国石化山东泰山石油股份有限公司肥城第二十四加油站的具体情况，选用安全检查表、事故树法及危险度评价法对加油站进行评价。具体应用如下表所示：</w:t>
      </w:r>
    </w:p>
    <w:p w14:paraId="71DE46B6">
      <w:pPr>
        <w:pStyle w:val="17"/>
        <w:keepLines w:val="0"/>
        <w:widowControl w:val="0"/>
        <w:wordWrap/>
        <w:overflowPunct/>
        <w:topLinePunct w:val="0"/>
        <w:bidi w:val="0"/>
        <w:adjustRightInd w:val="0"/>
        <w:snapToGrid w:val="0"/>
        <w:spacing w:line="360" w:lineRule="auto"/>
        <w:outlineLvl w:val="9"/>
        <w:rPr>
          <w:rFonts w:ascii="黑体" w:hAnsi="黑体"/>
          <w:strike w:val="0"/>
          <w:dstrike w:val="0"/>
          <w:color w:val="auto"/>
          <w:highlight w:val="none"/>
        </w:rPr>
      </w:pPr>
      <w:r>
        <w:rPr>
          <w:rFonts w:ascii="黑体" w:hAnsi="黑体"/>
          <w:strike w:val="0"/>
          <w:dstrike w:val="0"/>
          <w:color w:val="auto"/>
          <w:highlight w:val="none"/>
        </w:rPr>
        <w:t>表4.2-1 评价方法选择一览表</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6"/>
        <w:gridCol w:w="2388"/>
        <w:gridCol w:w="2222"/>
        <w:gridCol w:w="2174"/>
        <w:gridCol w:w="1808"/>
      </w:tblGrid>
      <w:tr w14:paraId="0599AA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restart"/>
            <w:vAlign w:val="center"/>
          </w:tcPr>
          <w:p w14:paraId="29D411F0">
            <w:pPr>
              <w:pStyle w:val="18"/>
              <w:keepLines w:val="0"/>
              <w:widowControl w:val="0"/>
              <w:wordWrap/>
              <w:overflowPunct/>
              <w:topLinePunct w:val="0"/>
              <w:bidi w:val="0"/>
              <w:adjustRightInd w:val="0"/>
              <w:snapToGrid w:val="0"/>
              <w:spacing w:line="360" w:lineRule="auto"/>
              <w:rPr>
                <w:rFonts w:ascii="宋体"/>
                <w:b/>
                <w:strike w:val="0"/>
                <w:dstrike w:val="0"/>
                <w:color w:val="auto"/>
                <w:highlight w:val="none"/>
                <w:lang w:val="en-GB"/>
              </w:rPr>
            </w:pPr>
            <w:r>
              <w:rPr>
                <w:rFonts w:ascii="宋体"/>
                <w:b/>
                <w:strike w:val="0"/>
                <w:dstrike w:val="0"/>
                <w:color w:val="auto"/>
                <w:highlight w:val="none"/>
                <w:lang w:val="en-GB"/>
              </w:rPr>
              <w:t>序号</w:t>
            </w:r>
          </w:p>
        </w:tc>
        <w:tc>
          <w:tcPr>
            <w:tcW w:w="1285" w:type="pct"/>
            <w:vMerge w:val="restart"/>
            <w:vAlign w:val="center"/>
          </w:tcPr>
          <w:p w14:paraId="7C0C72A0">
            <w:pPr>
              <w:pStyle w:val="18"/>
              <w:keepLines w:val="0"/>
              <w:widowControl w:val="0"/>
              <w:wordWrap/>
              <w:overflowPunct/>
              <w:topLinePunct w:val="0"/>
              <w:bidi w:val="0"/>
              <w:adjustRightInd w:val="0"/>
              <w:snapToGrid w:val="0"/>
              <w:spacing w:line="360" w:lineRule="auto"/>
              <w:rPr>
                <w:rFonts w:ascii="宋体"/>
                <w:b/>
                <w:strike w:val="0"/>
                <w:dstrike w:val="0"/>
                <w:color w:val="auto"/>
                <w:highlight w:val="none"/>
              </w:rPr>
            </w:pPr>
            <w:r>
              <w:rPr>
                <w:rFonts w:ascii="宋体"/>
                <w:b/>
                <w:bCs/>
                <w:strike w:val="0"/>
                <w:dstrike w:val="0"/>
                <w:color w:val="auto"/>
                <w:highlight w:val="none"/>
                <w:lang w:val="en-GB"/>
              </w:rPr>
              <w:t>评价单元</w:t>
            </w:r>
          </w:p>
        </w:tc>
        <w:tc>
          <w:tcPr>
            <w:tcW w:w="3339" w:type="pct"/>
            <w:gridSpan w:val="3"/>
            <w:vAlign w:val="center"/>
          </w:tcPr>
          <w:p w14:paraId="7E1CC8E3">
            <w:pPr>
              <w:pStyle w:val="18"/>
              <w:keepLines w:val="0"/>
              <w:widowControl w:val="0"/>
              <w:wordWrap/>
              <w:overflowPunct/>
              <w:topLinePunct w:val="0"/>
              <w:bidi w:val="0"/>
              <w:adjustRightInd w:val="0"/>
              <w:snapToGrid w:val="0"/>
              <w:spacing w:line="360" w:lineRule="auto"/>
              <w:rPr>
                <w:rFonts w:ascii="宋体"/>
                <w:b/>
                <w:strike w:val="0"/>
                <w:dstrike w:val="0"/>
                <w:color w:val="auto"/>
                <w:highlight w:val="none"/>
              </w:rPr>
            </w:pPr>
            <w:r>
              <w:rPr>
                <w:rFonts w:ascii="宋体"/>
                <w:b/>
                <w:strike w:val="0"/>
                <w:dstrike w:val="0"/>
                <w:color w:val="auto"/>
                <w:highlight w:val="none"/>
                <w:lang w:val="en-GB"/>
              </w:rPr>
              <w:t>评价方法</w:t>
            </w:r>
          </w:p>
        </w:tc>
      </w:tr>
      <w:tr w14:paraId="2A976F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continue"/>
            <w:vAlign w:val="center"/>
          </w:tcPr>
          <w:p w14:paraId="4FD16E5E">
            <w:pPr>
              <w:pStyle w:val="18"/>
              <w:keepLines w:val="0"/>
              <w:widowControl w:val="0"/>
              <w:wordWrap/>
              <w:overflowPunct/>
              <w:topLinePunct w:val="0"/>
              <w:bidi w:val="0"/>
              <w:adjustRightInd w:val="0"/>
              <w:snapToGrid w:val="0"/>
              <w:spacing w:line="360" w:lineRule="auto"/>
              <w:rPr>
                <w:rFonts w:ascii="宋体"/>
                <w:b/>
                <w:strike w:val="0"/>
                <w:dstrike w:val="0"/>
                <w:color w:val="auto"/>
                <w:highlight w:val="none"/>
                <w:lang w:val="en-GB"/>
              </w:rPr>
            </w:pPr>
          </w:p>
        </w:tc>
        <w:tc>
          <w:tcPr>
            <w:tcW w:w="1285" w:type="pct"/>
            <w:vMerge w:val="continue"/>
            <w:vAlign w:val="center"/>
          </w:tcPr>
          <w:p w14:paraId="3A79A200">
            <w:pPr>
              <w:pStyle w:val="18"/>
              <w:keepLines w:val="0"/>
              <w:widowControl w:val="0"/>
              <w:wordWrap/>
              <w:overflowPunct/>
              <w:topLinePunct w:val="0"/>
              <w:bidi w:val="0"/>
              <w:adjustRightInd w:val="0"/>
              <w:snapToGrid w:val="0"/>
              <w:spacing w:line="360" w:lineRule="auto"/>
              <w:rPr>
                <w:rFonts w:ascii="宋体"/>
                <w:b/>
                <w:strike w:val="0"/>
                <w:dstrike w:val="0"/>
                <w:color w:val="auto"/>
                <w:highlight w:val="none"/>
              </w:rPr>
            </w:pPr>
          </w:p>
        </w:tc>
        <w:tc>
          <w:tcPr>
            <w:tcW w:w="1196" w:type="pct"/>
            <w:vAlign w:val="center"/>
          </w:tcPr>
          <w:p w14:paraId="5292FAF1">
            <w:pPr>
              <w:pStyle w:val="18"/>
              <w:keepLines w:val="0"/>
              <w:widowControl w:val="0"/>
              <w:wordWrap/>
              <w:overflowPunct/>
              <w:topLinePunct w:val="0"/>
              <w:bidi w:val="0"/>
              <w:adjustRightInd w:val="0"/>
              <w:snapToGrid w:val="0"/>
              <w:spacing w:line="360" w:lineRule="auto"/>
              <w:rPr>
                <w:rFonts w:ascii="宋体"/>
                <w:b/>
                <w:strike w:val="0"/>
                <w:dstrike w:val="0"/>
                <w:color w:val="auto"/>
                <w:highlight w:val="none"/>
                <w:lang w:val="en-GB"/>
              </w:rPr>
            </w:pPr>
            <w:r>
              <w:rPr>
                <w:rFonts w:ascii="宋体"/>
                <w:b/>
                <w:strike w:val="0"/>
                <w:dstrike w:val="0"/>
                <w:color w:val="auto"/>
                <w:highlight w:val="none"/>
                <w:lang w:val="en-GB"/>
              </w:rPr>
              <w:t>安全检查表</w:t>
            </w:r>
          </w:p>
        </w:tc>
        <w:tc>
          <w:tcPr>
            <w:tcW w:w="1170" w:type="pct"/>
            <w:vAlign w:val="center"/>
          </w:tcPr>
          <w:p w14:paraId="45E0C1E6">
            <w:pPr>
              <w:pStyle w:val="18"/>
              <w:keepLines w:val="0"/>
              <w:widowControl w:val="0"/>
              <w:wordWrap/>
              <w:overflowPunct/>
              <w:topLinePunct w:val="0"/>
              <w:bidi w:val="0"/>
              <w:adjustRightInd w:val="0"/>
              <w:snapToGrid w:val="0"/>
              <w:spacing w:line="360" w:lineRule="auto"/>
              <w:rPr>
                <w:rFonts w:ascii="宋体"/>
                <w:b/>
                <w:strike w:val="0"/>
                <w:dstrike w:val="0"/>
                <w:color w:val="auto"/>
                <w:highlight w:val="none"/>
                <w:lang w:val="en-GB"/>
              </w:rPr>
            </w:pPr>
            <w:r>
              <w:rPr>
                <w:rFonts w:ascii="宋体"/>
                <w:b/>
                <w:strike w:val="0"/>
                <w:dstrike w:val="0"/>
                <w:color w:val="auto"/>
                <w:highlight w:val="none"/>
                <w:lang w:val="en-GB"/>
              </w:rPr>
              <w:t>危险度评价法</w:t>
            </w:r>
          </w:p>
        </w:tc>
        <w:tc>
          <w:tcPr>
            <w:tcW w:w="972" w:type="pct"/>
            <w:vAlign w:val="center"/>
          </w:tcPr>
          <w:p w14:paraId="3EDBE362">
            <w:pPr>
              <w:pStyle w:val="18"/>
              <w:keepLines w:val="0"/>
              <w:widowControl w:val="0"/>
              <w:wordWrap/>
              <w:overflowPunct/>
              <w:topLinePunct w:val="0"/>
              <w:bidi w:val="0"/>
              <w:adjustRightInd w:val="0"/>
              <w:snapToGrid w:val="0"/>
              <w:spacing w:line="360" w:lineRule="auto"/>
              <w:rPr>
                <w:rFonts w:ascii="宋体"/>
                <w:b/>
                <w:strike w:val="0"/>
                <w:dstrike w:val="0"/>
                <w:color w:val="auto"/>
                <w:highlight w:val="none"/>
                <w:lang w:val="en-GB"/>
              </w:rPr>
            </w:pPr>
            <w:r>
              <w:rPr>
                <w:rFonts w:ascii="宋体"/>
                <w:b/>
                <w:strike w:val="0"/>
                <w:dstrike w:val="0"/>
                <w:color w:val="auto"/>
                <w:highlight w:val="none"/>
                <w:lang w:val="en-GB"/>
              </w:rPr>
              <w:t>事故树法</w:t>
            </w:r>
          </w:p>
        </w:tc>
      </w:tr>
      <w:tr w14:paraId="022FCA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0EE04F34">
            <w:pPr>
              <w:pStyle w:val="18"/>
              <w:keepLines w:val="0"/>
              <w:widowControl w:val="0"/>
              <w:wordWrap/>
              <w:overflowPunct/>
              <w:topLinePunct w:val="0"/>
              <w:bidi w:val="0"/>
              <w:adjustRightInd w:val="0"/>
              <w:snapToGrid w:val="0"/>
              <w:spacing w:line="360" w:lineRule="auto"/>
              <w:rPr>
                <w:rFonts w:ascii="宋体"/>
                <w:strike w:val="0"/>
                <w:dstrike w:val="0"/>
                <w:color w:val="auto"/>
                <w:highlight w:val="none"/>
                <w:lang w:val="en-GB"/>
              </w:rPr>
            </w:pPr>
            <w:r>
              <w:rPr>
                <w:rFonts w:ascii="宋体"/>
                <w:strike w:val="0"/>
                <w:dstrike w:val="0"/>
                <w:color w:val="auto"/>
                <w:highlight w:val="none"/>
                <w:lang w:val="en-GB"/>
              </w:rPr>
              <w:t>1</w:t>
            </w:r>
          </w:p>
        </w:tc>
        <w:tc>
          <w:tcPr>
            <w:tcW w:w="1285" w:type="pct"/>
            <w:vAlign w:val="center"/>
          </w:tcPr>
          <w:p w14:paraId="741C0649">
            <w:pPr>
              <w:pStyle w:val="18"/>
              <w:keepLines w:val="0"/>
              <w:widowControl w:val="0"/>
              <w:wordWrap/>
              <w:overflowPunct/>
              <w:topLinePunct w:val="0"/>
              <w:bidi w:val="0"/>
              <w:adjustRightInd w:val="0"/>
              <w:snapToGrid w:val="0"/>
              <w:spacing w:line="360" w:lineRule="auto"/>
              <w:rPr>
                <w:rFonts w:ascii="宋体"/>
                <w:strike w:val="0"/>
                <w:dstrike w:val="0"/>
                <w:color w:val="auto"/>
                <w:highlight w:val="none"/>
                <w:lang w:val="en-GB"/>
              </w:rPr>
            </w:pPr>
            <w:r>
              <w:rPr>
                <w:rFonts w:ascii="宋体"/>
                <w:strike w:val="0"/>
                <w:dstrike w:val="0"/>
                <w:color w:val="auto"/>
                <w:highlight w:val="none"/>
                <w:lang w:val="en-GB"/>
              </w:rPr>
              <w:t>安全管理单元</w:t>
            </w:r>
          </w:p>
        </w:tc>
        <w:tc>
          <w:tcPr>
            <w:tcW w:w="1196" w:type="pct"/>
            <w:vAlign w:val="center"/>
          </w:tcPr>
          <w:p w14:paraId="0F93159F">
            <w:pPr>
              <w:pStyle w:val="18"/>
              <w:keepLines w:val="0"/>
              <w:widowControl w:val="0"/>
              <w:wordWrap/>
              <w:overflowPunct/>
              <w:topLinePunct w:val="0"/>
              <w:bidi w:val="0"/>
              <w:adjustRightInd w:val="0"/>
              <w:snapToGrid w:val="0"/>
              <w:spacing w:line="360" w:lineRule="auto"/>
              <w:rPr>
                <w:rFonts w:ascii="宋体"/>
                <w:strike w:val="0"/>
                <w:dstrike w:val="0"/>
                <w:color w:val="auto"/>
                <w:highlight w:val="none"/>
              </w:rPr>
            </w:pPr>
            <w:r>
              <w:rPr>
                <w:rFonts w:hint="eastAsia" w:ascii="宋体" w:hAnsi="宋体" w:cs="宋体"/>
                <w:strike w:val="0"/>
                <w:dstrike w:val="0"/>
                <w:color w:val="auto"/>
                <w:highlight w:val="none"/>
              </w:rPr>
              <w:t>★</w:t>
            </w:r>
          </w:p>
        </w:tc>
        <w:tc>
          <w:tcPr>
            <w:tcW w:w="1170" w:type="pct"/>
            <w:vAlign w:val="center"/>
          </w:tcPr>
          <w:p w14:paraId="7D4978E7">
            <w:pPr>
              <w:pStyle w:val="18"/>
              <w:keepLines w:val="0"/>
              <w:widowControl w:val="0"/>
              <w:wordWrap/>
              <w:overflowPunct/>
              <w:topLinePunct w:val="0"/>
              <w:bidi w:val="0"/>
              <w:adjustRightInd w:val="0"/>
              <w:snapToGrid w:val="0"/>
              <w:spacing w:line="360" w:lineRule="auto"/>
              <w:rPr>
                <w:rFonts w:ascii="宋体"/>
                <w:strike w:val="0"/>
                <w:dstrike w:val="0"/>
                <w:color w:val="auto"/>
                <w:highlight w:val="none"/>
              </w:rPr>
            </w:pPr>
          </w:p>
        </w:tc>
        <w:tc>
          <w:tcPr>
            <w:tcW w:w="972" w:type="pct"/>
            <w:vAlign w:val="center"/>
          </w:tcPr>
          <w:p w14:paraId="69B58781">
            <w:pPr>
              <w:pStyle w:val="18"/>
              <w:keepLines w:val="0"/>
              <w:widowControl w:val="0"/>
              <w:wordWrap/>
              <w:overflowPunct/>
              <w:topLinePunct w:val="0"/>
              <w:bidi w:val="0"/>
              <w:adjustRightInd w:val="0"/>
              <w:snapToGrid w:val="0"/>
              <w:spacing w:line="360" w:lineRule="auto"/>
              <w:rPr>
                <w:rFonts w:ascii="宋体"/>
                <w:strike w:val="0"/>
                <w:dstrike w:val="0"/>
                <w:color w:val="auto"/>
                <w:highlight w:val="none"/>
              </w:rPr>
            </w:pPr>
          </w:p>
        </w:tc>
      </w:tr>
      <w:tr w14:paraId="25620C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2B638669">
            <w:pPr>
              <w:pStyle w:val="18"/>
              <w:keepLines w:val="0"/>
              <w:widowControl w:val="0"/>
              <w:wordWrap/>
              <w:overflowPunct/>
              <w:topLinePunct w:val="0"/>
              <w:bidi w:val="0"/>
              <w:adjustRightInd w:val="0"/>
              <w:snapToGrid w:val="0"/>
              <w:spacing w:line="360" w:lineRule="auto"/>
              <w:rPr>
                <w:rFonts w:ascii="宋体"/>
                <w:strike w:val="0"/>
                <w:dstrike w:val="0"/>
                <w:color w:val="auto"/>
                <w:highlight w:val="none"/>
                <w:lang w:val="en-GB"/>
              </w:rPr>
            </w:pPr>
            <w:r>
              <w:rPr>
                <w:rFonts w:ascii="宋体"/>
                <w:strike w:val="0"/>
                <w:dstrike w:val="0"/>
                <w:color w:val="auto"/>
                <w:highlight w:val="none"/>
                <w:lang w:val="en-GB"/>
              </w:rPr>
              <w:t>2</w:t>
            </w:r>
          </w:p>
        </w:tc>
        <w:tc>
          <w:tcPr>
            <w:tcW w:w="1285" w:type="pct"/>
            <w:vAlign w:val="center"/>
          </w:tcPr>
          <w:p w14:paraId="4CE869A7">
            <w:pPr>
              <w:pStyle w:val="18"/>
              <w:keepLines w:val="0"/>
              <w:widowControl w:val="0"/>
              <w:wordWrap/>
              <w:overflowPunct/>
              <w:topLinePunct w:val="0"/>
              <w:bidi w:val="0"/>
              <w:adjustRightInd w:val="0"/>
              <w:snapToGrid w:val="0"/>
              <w:spacing w:line="360" w:lineRule="auto"/>
              <w:rPr>
                <w:rFonts w:ascii="宋体"/>
                <w:strike w:val="0"/>
                <w:dstrike w:val="0"/>
                <w:color w:val="auto"/>
                <w:highlight w:val="none"/>
                <w:lang w:val="en-GB"/>
              </w:rPr>
            </w:pPr>
            <w:r>
              <w:rPr>
                <w:rFonts w:ascii="宋体"/>
                <w:strike w:val="0"/>
                <w:dstrike w:val="0"/>
                <w:color w:val="auto"/>
                <w:highlight w:val="none"/>
                <w:lang w:val="en-GB"/>
              </w:rPr>
              <w:t>站址选择及总平面布置</w:t>
            </w:r>
          </w:p>
        </w:tc>
        <w:tc>
          <w:tcPr>
            <w:tcW w:w="1196" w:type="pct"/>
            <w:vAlign w:val="center"/>
          </w:tcPr>
          <w:p w14:paraId="5D20CBB4">
            <w:pPr>
              <w:pStyle w:val="18"/>
              <w:keepLines w:val="0"/>
              <w:widowControl w:val="0"/>
              <w:wordWrap/>
              <w:overflowPunct/>
              <w:topLinePunct w:val="0"/>
              <w:bidi w:val="0"/>
              <w:adjustRightInd w:val="0"/>
              <w:snapToGrid w:val="0"/>
              <w:spacing w:line="360" w:lineRule="auto"/>
              <w:rPr>
                <w:rFonts w:ascii="宋体"/>
                <w:strike w:val="0"/>
                <w:dstrike w:val="0"/>
                <w:color w:val="auto"/>
                <w:highlight w:val="none"/>
              </w:rPr>
            </w:pPr>
            <w:r>
              <w:rPr>
                <w:rFonts w:hint="eastAsia" w:ascii="宋体" w:hAnsi="宋体" w:cs="宋体"/>
                <w:strike w:val="0"/>
                <w:dstrike w:val="0"/>
                <w:color w:val="auto"/>
                <w:highlight w:val="none"/>
              </w:rPr>
              <w:t>★</w:t>
            </w:r>
          </w:p>
        </w:tc>
        <w:tc>
          <w:tcPr>
            <w:tcW w:w="1170" w:type="pct"/>
            <w:vAlign w:val="center"/>
          </w:tcPr>
          <w:p w14:paraId="3EFE936F">
            <w:pPr>
              <w:pStyle w:val="18"/>
              <w:keepLines w:val="0"/>
              <w:widowControl w:val="0"/>
              <w:wordWrap/>
              <w:overflowPunct/>
              <w:topLinePunct w:val="0"/>
              <w:bidi w:val="0"/>
              <w:adjustRightInd w:val="0"/>
              <w:snapToGrid w:val="0"/>
              <w:spacing w:line="360" w:lineRule="auto"/>
              <w:rPr>
                <w:rFonts w:ascii="宋体"/>
                <w:strike w:val="0"/>
                <w:dstrike w:val="0"/>
                <w:color w:val="auto"/>
                <w:highlight w:val="none"/>
              </w:rPr>
            </w:pPr>
          </w:p>
        </w:tc>
        <w:tc>
          <w:tcPr>
            <w:tcW w:w="972" w:type="pct"/>
            <w:vAlign w:val="center"/>
          </w:tcPr>
          <w:p w14:paraId="0969C382">
            <w:pPr>
              <w:pStyle w:val="18"/>
              <w:keepLines w:val="0"/>
              <w:widowControl w:val="0"/>
              <w:wordWrap/>
              <w:overflowPunct/>
              <w:topLinePunct w:val="0"/>
              <w:bidi w:val="0"/>
              <w:adjustRightInd w:val="0"/>
              <w:snapToGrid w:val="0"/>
              <w:spacing w:line="360" w:lineRule="auto"/>
              <w:rPr>
                <w:rFonts w:ascii="宋体"/>
                <w:strike w:val="0"/>
                <w:dstrike w:val="0"/>
                <w:color w:val="auto"/>
                <w:highlight w:val="none"/>
              </w:rPr>
            </w:pPr>
          </w:p>
        </w:tc>
      </w:tr>
      <w:tr w14:paraId="20A874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6622BBA0">
            <w:pPr>
              <w:pStyle w:val="18"/>
              <w:keepLines w:val="0"/>
              <w:widowControl w:val="0"/>
              <w:wordWrap/>
              <w:overflowPunct/>
              <w:topLinePunct w:val="0"/>
              <w:bidi w:val="0"/>
              <w:adjustRightInd w:val="0"/>
              <w:snapToGrid w:val="0"/>
              <w:spacing w:line="360" w:lineRule="auto"/>
              <w:rPr>
                <w:rFonts w:ascii="宋体"/>
                <w:strike w:val="0"/>
                <w:dstrike w:val="0"/>
                <w:color w:val="auto"/>
                <w:highlight w:val="none"/>
                <w:lang w:val="en-GB"/>
              </w:rPr>
            </w:pPr>
            <w:r>
              <w:rPr>
                <w:rFonts w:ascii="宋体"/>
                <w:strike w:val="0"/>
                <w:dstrike w:val="0"/>
                <w:color w:val="auto"/>
                <w:highlight w:val="none"/>
                <w:lang w:val="en-GB"/>
              </w:rPr>
              <w:t>3</w:t>
            </w:r>
          </w:p>
        </w:tc>
        <w:tc>
          <w:tcPr>
            <w:tcW w:w="1285" w:type="pct"/>
            <w:vAlign w:val="center"/>
          </w:tcPr>
          <w:p w14:paraId="47302A4D">
            <w:pPr>
              <w:pStyle w:val="18"/>
              <w:keepLines w:val="0"/>
              <w:widowControl w:val="0"/>
              <w:wordWrap/>
              <w:overflowPunct/>
              <w:topLinePunct w:val="0"/>
              <w:bidi w:val="0"/>
              <w:adjustRightInd w:val="0"/>
              <w:snapToGrid w:val="0"/>
              <w:spacing w:line="360" w:lineRule="auto"/>
              <w:rPr>
                <w:rFonts w:ascii="宋体"/>
                <w:strike w:val="0"/>
                <w:dstrike w:val="0"/>
                <w:color w:val="auto"/>
                <w:highlight w:val="none"/>
                <w:lang w:val="en-GB"/>
              </w:rPr>
            </w:pPr>
            <w:r>
              <w:rPr>
                <w:rFonts w:ascii="宋体"/>
                <w:strike w:val="0"/>
                <w:dstrike w:val="0"/>
                <w:color w:val="auto"/>
                <w:highlight w:val="none"/>
                <w:lang w:val="en-GB"/>
              </w:rPr>
              <w:t>加油工艺及设施</w:t>
            </w:r>
          </w:p>
        </w:tc>
        <w:tc>
          <w:tcPr>
            <w:tcW w:w="1196" w:type="pct"/>
            <w:vAlign w:val="center"/>
          </w:tcPr>
          <w:p w14:paraId="7E243E0A">
            <w:pPr>
              <w:pStyle w:val="18"/>
              <w:keepLines w:val="0"/>
              <w:widowControl w:val="0"/>
              <w:wordWrap/>
              <w:overflowPunct/>
              <w:topLinePunct w:val="0"/>
              <w:bidi w:val="0"/>
              <w:adjustRightInd w:val="0"/>
              <w:snapToGrid w:val="0"/>
              <w:spacing w:line="360" w:lineRule="auto"/>
              <w:rPr>
                <w:rFonts w:ascii="宋体"/>
                <w:strike w:val="0"/>
                <w:dstrike w:val="0"/>
                <w:color w:val="auto"/>
                <w:highlight w:val="none"/>
              </w:rPr>
            </w:pPr>
            <w:r>
              <w:rPr>
                <w:rFonts w:hint="eastAsia" w:ascii="宋体" w:hAnsi="宋体" w:cs="宋体"/>
                <w:strike w:val="0"/>
                <w:dstrike w:val="0"/>
                <w:color w:val="auto"/>
                <w:highlight w:val="none"/>
              </w:rPr>
              <w:t>★</w:t>
            </w:r>
          </w:p>
        </w:tc>
        <w:tc>
          <w:tcPr>
            <w:tcW w:w="1170" w:type="pct"/>
            <w:vAlign w:val="center"/>
          </w:tcPr>
          <w:p w14:paraId="48E88EA2">
            <w:pPr>
              <w:pStyle w:val="18"/>
              <w:keepLines w:val="0"/>
              <w:widowControl w:val="0"/>
              <w:wordWrap/>
              <w:overflowPunct/>
              <w:topLinePunct w:val="0"/>
              <w:bidi w:val="0"/>
              <w:adjustRightInd w:val="0"/>
              <w:snapToGrid w:val="0"/>
              <w:spacing w:line="360" w:lineRule="auto"/>
              <w:rPr>
                <w:rFonts w:ascii="宋体"/>
                <w:strike w:val="0"/>
                <w:dstrike w:val="0"/>
                <w:color w:val="auto"/>
                <w:highlight w:val="none"/>
              </w:rPr>
            </w:pPr>
            <w:r>
              <w:rPr>
                <w:rFonts w:hint="eastAsia" w:ascii="宋体" w:hAnsi="宋体" w:cs="宋体"/>
                <w:strike w:val="0"/>
                <w:dstrike w:val="0"/>
                <w:color w:val="auto"/>
                <w:highlight w:val="none"/>
              </w:rPr>
              <w:t>★</w:t>
            </w:r>
          </w:p>
        </w:tc>
        <w:tc>
          <w:tcPr>
            <w:tcW w:w="972" w:type="pct"/>
            <w:vAlign w:val="center"/>
          </w:tcPr>
          <w:p w14:paraId="7CA41516">
            <w:pPr>
              <w:pStyle w:val="18"/>
              <w:keepLines w:val="0"/>
              <w:widowControl w:val="0"/>
              <w:wordWrap/>
              <w:overflowPunct/>
              <w:topLinePunct w:val="0"/>
              <w:bidi w:val="0"/>
              <w:adjustRightInd w:val="0"/>
              <w:snapToGrid w:val="0"/>
              <w:spacing w:line="360" w:lineRule="auto"/>
              <w:rPr>
                <w:rFonts w:ascii="宋体"/>
                <w:strike w:val="0"/>
                <w:dstrike w:val="0"/>
                <w:color w:val="auto"/>
                <w:highlight w:val="none"/>
              </w:rPr>
            </w:pPr>
            <w:r>
              <w:rPr>
                <w:rFonts w:hint="eastAsia" w:ascii="宋体" w:hAnsi="宋体" w:cs="宋体"/>
                <w:strike w:val="0"/>
                <w:dstrike w:val="0"/>
                <w:color w:val="auto"/>
                <w:highlight w:val="none"/>
              </w:rPr>
              <w:t>★</w:t>
            </w:r>
          </w:p>
        </w:tc>
      </w:tr>
      <w:tr w14:paraId="6B38DB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35D2141B">
            <w:pPr>
              <w:pStyle w:val="18"/>
              <w:keepLines w:val="0"/>
              <w:widowControl w:val="0"/>
              <w:wordWrap/>
              <w:overflowPunct/>
              <w:topLinePunct w:val="0"/>
              <w:bidi w:val="0"/>
              <w:adjustRightInd w:val="0"/>
              <w:snapToGrid w:val="0"/>
              <w:spacing w:line="360" w:lineRule="auto"/>
              <w:rPr>
                <w:rFonts w:ascii="宋体"/>
                <w:strike w:val="0"/>
                <w:dstrike w:val="0"/>
                <w:color w:val="auto"/>
                <w:highlight w:val="none"/>
                <w:lang w:val="en-GB"/>
              </w:rPr>
            </w:pPr>
            <w:r>
              <w:rPr>
                <w:rFonts w:ascii="宋体"/>
                <w:strike w:val="0"/>
                <w:dstrike w:val="0"/>
                <w:color w:val="auto"/>
                <w:highlight w:val="none"/>
                <w:lang w:val="en-GB"/>
              </w:rPr>
              <w:t>4</w:t>
            </w:r>
          </w:p>
        </w:tc>
        <w:tc>
          <w:tcPr>
            <w:tcW w:w="1285" w:type="pct"/>
            <w:vAlign w:val="center"/>
          </w:tcPr>
          <w:p w14:paraId="06411B00">
            <w:pPr>
              <w:pStyle w:val="18"/>
              <w:keepLines w:val="0"/>
              <w:widowControl w:val="0"/>
              <w:wordWrap/>
              <w:overflowPunct/>
              <w:topLinePunct w:val="0"/>
              <w:bidi w:val="0"/>
              <w:adjustRightInd w:val="0"/>
              <w:snapToGrid w:val="0"/>
              <w:spacing w:line="360" w:lineRule="auto"/>
              <w:rPr>
                <w:rFonts w:ascii="宋体"/>
                <w:strike w:val="0"/>
                <w:dstrike w:val="0"/>
                <w:color w:val="auto"/>
                <w:highlight w:val="none"/>
                <w:lang w:val="en-GB"/>
              </w:rPr>
            </w:pPr>
            <w:r>
              <w:rPr>
                <w:rFonts w:ascii="宋体"/>
                <w:strike w:val="0"/>
                <w:dstrike w:val="0"/>
                <w:color w:val="auto"/>
                <w:highlight w:val="none"/>
                <w:lang w:val="en-GB"/>
              </w:rPr>
              <w:t>其它安全设施</w:t>
            </w:r>
          </w:p>
        </w:tc>
        <w:tc>
          <w:tcPr>
            <w:tcW w:w="1196" w:type="pct"/>
            <w:vAlign w:val="center"/>
          </w:tcPr>
          <w:p w14:paraId="77855885">
            <w:pPr>
              <w:pStyle w:val="18"/>
              <w:keepLines w:val="0"/>
              <w:widowControl w:val="0"/>
              <w:wordWrap/>
              <w:overflowPunct/>
              <w:topLinePunct w:val="0"/>
              <w:bidi w:val="0"/>
              <w:adjustRightInd w:val="0"/>
              <w:snapToGrid w:val="0"/>
              <w:spacing w:line="360" w:lineRule="auto"/>
              <w:rPr>
                <w:rFonts w:ascii="宋体"/>
                <w:strike w:val="0"/>
                <w:dstrike w:val="0"/>
                <w:color w:val="auto"/>
                <w:highlight w:val="none"/>
              </w:rPr>
            </w:pPr>
            <w:r>
              <w:rPr>
                <w:rFonts w:hint="eastAsia" w:ascii="宋体" w:hAnsi="宋体" w:cs="宋体"/>
                <w:strike w:val="0"/>
                <w:dstrike w:val="0"/>
                <w:color w:val="auto"/>
                <w:highlight w:val="none"/>
              </w:rPr>
              <w:t>★</w:t>
            </w:r>
          </w:p>
        </w:tc>
        <w:tc>
          <w:tcPr>
            <w:tcW w:w="1170" w:type="pct"/>
            <w:vAlign w:val="center"/>
          </w:tcPr>
          <w:p w14:paraId="42B48DC9">
            <w:pPr>
              <w:pStyle w:val="18"/>
              <w:keepLines w:val="0"/>
              <w:widowControl w:val="0"/>
              <w:wordWrap/>
              <w:overflowPunct/>
              <w:topLinePunct w:val="0"/>
              <w:bidi w:val="0"/>
              <w:adjustRightInd w:val="0"/>
              <w:snapToGrid w:val="0"/>
              <w:spacing w:line="360" w:lineRule="auto"/>
              <w:rPr>
                <w:rFonts w:ascii="宋体"/>
                <w:strike w:val="0"/>
                <w:dstrike w:val="0"/>
                <w:color w:val="auto"/>
                <w:highlight w:val="none"/>
              </w:rPr>
            </w:pPr>
          </w:p>
        </w:tc>
        <w:tc>
          <w:tcPr>
            <w:tcW w:w="972" w:type="pct"/>
            <w:vAlign w:val="center"/>
          </w:tcPr>
          <w:p w14:paraId="68D64A4D">
            <w:pPr>
              <w:pStyle w:val="18"/>
              <w:keepLines w:val="0"/>
              <w:widowControl w:val="0"/>
              <w:wordWrap/>
              <w:overflowPunct/>
              <w:topLinePunct w:val="0"/>
              <w:bidi w:val="0"/>
              <w:adjustRightInd w:val="0"/>
              <w:snapToGrid w:val="0"/>
              <w:spacing w:line="360" w:lineRule="auto"/>
              <w:rPr>
                <w:rFonts w:ascii="宋体"/>
                <w:strike w:val="0"/>
                <w:dstrike w:val="0"/>
                <w:color w:val="auto"/>
                <w:highlight w:val="none"/>
              </w:rPr>
            </w:pPr>
          </w:p>
        </w:tc>
      </w:tr>
    </w:tbl>
    <w:p w14:paraId="40C97747">
      <w:pPr>
        <w:pStyle w:val="15"/>
        <w:keepLines w:val="0"/>
        <w:widowControl w:val="0"/>
        <w:wordWrap/>
        <w:overflowPunct/>
        <w:topLinePunct w:val="0"/>
        <w:bidi w:val="0"/>
        <w:adjustRightInd w:val="0"/>
        <w:snapToGrid w:val="0"/>
        <w:spacing w:line="360" w:lineRule="auto"/>
        <w:ind w:firstLine="420"/>
        <w:rPr>
          <w:rFonts w:ascii="宋体"/>
          <w:strike w:val="0"/>
          <w:dstrike w:val="0"/>
          <w:color w:val="auto"/>
          <w:highlight w:val="none"/>
        </w:rPr>
      </w:pPr>
      <w:r>
        <w:rPr>
          <w:rFonts w:ascii="黑体" w:hAnsi="黑体" w:eastAsia="黑体"/>
          <w:strike w:val="0"/>
          <w:dstrike w:val="0"/>
          <w:color w:val="auto"/>
          <w:sz w:val="21"/>
          <w:szCs w:val="21"/>
          <w:highlight w:val="none"/>
          <w:u w:color="000000"/>
        </w:rPr>
        <w:t>注：表中“★”表示采用的评价方法。</w:t>
      </w:r>
    </w:p>
    <w:p w14:paraId="797C146D">
      <w:pPr>
        <w:pStyle w:val="19"/>
        <w:keepLines w:val="0"/>
        <w:widowControl w:val="0"/>
        <w:wordWrap/>
        <w:overflowPunct/>
        <w:topLinePunct w:val="0"/>
        <w:bidi w:val="0"/>
        <w:adjustRightInd w:val="0"/>
        <w:snapToGrid w:val="0"/>
        <w:spacing w:line="360" w:lineRule="auto"/>
        <w:ind w:firstLine="872" w:firstLineChars="400"/>
        <w:rPr>
          <w:strike w:val="0"/>
          <w:dstrike w:val="0"/>
          <w:color w:val="auto"/>
          <w:highlight w:val="none"/>
        </w:rPr>
      </w:pPr>
    </w:p>
    <w:p w14:paraId="1C8F015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rPr>
          <w:rFonts w:hint="eastAsia" w:ascii="宋体" w:hAnsi="宋体"/>
          <w:strike w:val="0"/>
          <w:dstrike w:val="0"/>
          <w:color w:val="auto"/>
          <w:sz w:val="28"/>
          <w:szCs w:val="28"/>
          <w:highlight w:val="none"/>
        </w:rPr>
      </w:pPr>
    </w:p>
    <w:p w14:paraId="77F73FA5">
      <w:pPr>
        <w:pStyle w:val="4"/>
        <w:keepNext w:val="0"/>
        <w:keepLines w:val="0"/>
        <w:pageBreakBefore w:val="0"/>
        <w:widowControl w:val="0"/>
        <w:kinsoku/>
        <w:wordWrap/>
        <w:overflowPunct/>
        <w:topLinePunct w:val="0"/>
        <w:autoSpaceDE/>
        <w:autoSpaceDN/>
        <w:bidi w:val="0"/>
        <w:adjustRightInd w:val="0"/>
        <w:snapToGrid w:val="0"/>
        <w:spacing w:before="312" w:beforeLines="100" w:after="312" w:afterLines="100" w:line="360" w:lineRule="auto"/>
        <w:ind w:firstLine="0"/>
        <w:textAlignment w:val="auto"/>
        <w:rPr>
          <w:rFonts w:hint="eastAsia"/>
          <w:strike w:val="0"/>
          <w:dstrike w:val="0"/>
          <w:color w:val="auto"/>
          <w:highlight w:val="none"/>
        </w:rPr>
      </w:pPr>
      <w:bookmarkStart w:id="34" w:name="_Toc225046264"/>
      <w:bookmarkStart w:id="35" w:name="_Toc339456079"/>
      <w:bookmarkStart w:id="36" w:name="_Toc102633915"/>
      <w:bookmarkStart w:id="37" w:name="_Toc2607"/>
      <w:bookmarkStart w:id="38" w:name="_Toc102634415"/>
      <w:bookmarkStart w:id="39" w:name="_Toc242065302"/>
      <w:bookmarkStart w:id="40" w:name="_Toc348877039"/>
      <w:bookmarkStart w:id="41" w:name="_Toc4961"/>
      <w:bookmarkStart w:id="42" w:name="_Toc15033762"/>
      <w:bookmarkStart w:id="43" w:name="_Toc102633989"/>
      <w:bookmarkStart w:id="44" w:name="_Toc102634277"/>
    </w:p>
    <w:p w14:paraId="7D434D33">
      <w:pPr>
        <w:pStyle w:val="4"/>
        <w:keepNext w:val="0"/>
        <w:keepLines w:val="0"/>
        <w:pageBreakBefore w:val="0"/>
        <w:widowControl w:val="0"/>
        <w:kinsoku/>
        <w:wordWrap/>
        <w:overflowPunct/>
        <w:topLinePunct w:val="0"/>
        <w:autoSpaceDE/>
        <w:autoSpaceDN/>
        <w:bidi w:val="0"/>
        <w:adjustRightInd w:val="0"/>
        <w:snapToGrid w:val="0"/>
        <w:spacing w:before="312" w:beforeLines="100" w:after="312" w:afterLines="100" w:line="360" w:lineRule="auto"/>
        <w:ind w:firstLine="0"/>
        <w:textAlignment w:val="auto"/>
        <w:rPr>
          <w:rFonts w:hint="eastAsia"/>
          <w:strike w:val="0"/>
          <w:dstrike w:val="0"/>
          <w:color w:val="auto"/>
          <w:highlight w:val="none"/>
        </w:rPr>
      </w:pPr>
    </w:p>
    <w:p w14:paraId="0849372C">
      <w:pPr>
        <w:pStyle w:val="4"/>
        <w:keepNext w:val="0"/>
        <w:keepLines w:val="0"/>
        <w:pageBreakBefore w:val="0"/>
        <w:widowControl w:val="0"/>
        <w:kinsoku/>
        <w:wordWrap/>
        <w:overflowPunct/>
        <w:topLinePunct w:val="0"/>
        <w:autoSpaceDE/>
        <w:autoSpaceDN/>
        <w:bidi w:val="0"/>
        <w:adjustRightInd w:val="0"/>
        <w:snapToGrid w:val="0"/>
        <w:spacing w:before="312" w:beforeLines="100" w:after="312" w:afterLines="100" w:line="360" w:lineRule="auto"/>
        <w:ind w:firstLine="0"/>
        <w:textAlignment w:val="auto"/>
        <w:rPr>
          <w:rFonts w:hint="eastAsia"/>
          <w:strike w:val="0"/>
          <w:dstrike w:val="0"/>
          <w:color w:val="auto"/>
          <w:highlight w:val="none"/>
        </w:rPr>
      </w:pPr>
      <w:r>
        <w:rPr>
          <w:rFonts w:hint="eastAsia"/>
          <w:strike w:val="0"/>
          <w:dstrike w:val="0"/>
          <w:color w:val="auto"/>
          <w:highlight w:val="none"/>
        </w:rPr>
        <w:t xml:space="preserve">第一节 </w:t>
      </w:r>
      <w:bookmarkEnd w:id="34"/>
      <w:bookmarkEnd w:id="35"/>
      <w:r>
        <w:rPr>
          <w:rFonts w:hint="eastAsia"/>
          <w:strike w:val="0"/>
          <w:dstrike w:val="0"/>
          <w:color w:val="auto"/>
          <w:highlight w:val="none"/>
        </w:rPr>
        <w:t>存在的问题及整改建议</w:t>
      </w:r>
      <w:bookmarkEnd w:id="36"/>
      <w:bookmarkEnd w:id="37"/>
      <w:bookmarkEnd w:id="38"/>
      <w:bookmarkEnd w:id="39"/>
      <w:bookmarkEnd w:id="40"/>
      <w:bookmarkEnd w:id="41"/>
      <w:bookmarkEnd w:id="42"/>
      <w:bookmarkEnd w:id="43"/>
      <w:bookmarkEnd w:id="44"/>
    </w:p>
    <w:p w14:paraId="6DD21287">
      <w:pPr>
        <w:pStyle w:val="15"/>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strike w:val="0"/>
          <w:dstrike w:val="0"/>
          <w:color w:val="auto"/>
          <w:highlight w:val="none"/>
        </w:rPr>
      </w:pPr>
      <w:bookmarkStart w:id="45" w:name="_Toc49590281"/>
      <w:bookmarkStart w:id="46" w:name="_Toc15033763"/>
      <w:r>
        <w:rPr>
          <w:rFonts w:ascii="宋体"/>
          <w:strike w:val="0"/>
          <w:dstrike w:val="0"/>
          <w:color w:val="auto"/>
          <w:highlight w:val="none"/>
        </w:rPr>
        <w:t>通过现场检查和审查有关资料</w:t>
      </w:r>
      <w:r>
        <w:rPr>
          <w:rFonts w:hint="eastAsia" w:ascii="宋体"/>
          <w:strike w:val="0"/>
          <w:dstrike w:val="0"/>
          <w:color w:val="auto"/>
          <w:highlight w:val="none"/>
        </w:rPr>
        <w:t>可以看出，</w:t>
      </w:r>
      <w:bookmarkEnd w:id="45"/>
      <w:bookmarkEnd w:id="46"/>
      <w:r>
        <w:rPr>
          <w:rFonts w:hint="eastAsia" w:ascii="宋体"/>
          <w:strike w:val="0"/>
          <w:dstrike w:val="0"/>
          <w:color w:val="auto"/>
          <w:highlight w:val="none"/>
        </w:rPr>
        <w:t>该加油站在安全管理、站址选择及总平面布置、加油工艺及设施、其它设施等方面符合有关法律、标准规范的要求。</w:t>
      </w:r>
    </w:p>
    <w:p w14:paraId="14B2EFA1">
      <w:pPr>
        <w:keepLines w:val="0"/>
        <w:widowControl/>
        <w:wordWrap/>
        <w:overflowPunct/>
        <w:topLinePunct w:val="0"/>
        <w:bidi w:val="0"/>
        <w:adjustRightInd w:val="0"/>
        <w:snapToGrid w:val="0"/>
        <w:spacing w:line="360" w:lineRule="auto"/>
        <w:jc w:val="center"/>
        <w:textAlignment w:val="baseline"/>
        <w:rPr>
          <w:rFonts w:eastAsia="黑体"/>
          <w:strike w:val="0"/>
          <w:dstrike w:val="0"/>
          <w:color w:val="auto"/>
          <w:kern w:val="0"/>
          <w:sz w:val="24"/>
          <w:szCs w:val="24"/>
          <w:highlight w:val="none"/>
          <w:u w:color="000000"/>
        </w:rPr>
      </w:pPr>
      <w:r>
        <w:rPr>
          <w:rFonts w:hint="eastAsia" w:ascii="黑体" w:hAnsi="黑体" w:eastAsia="黑体" w:cs="黑体"/>
          <w:strike w:val="0"/>
          <w:dstrike w:val="0"/>
          <w:color w:val="auto"/>
          <w:kern w:val="0"/>
          <w:sz w:val="24"/>
          <w:szCs w:val="24"/>
          <w:highlight w:val="none"/>
          <w:u w:color="000000"/>
        </w:rPr>
        <w:t>表6.1-1</w:t>
      </w:r>
      <w:r>
        <w:rPr>
          <w:rFonts w:hint="eastAsia" w:eastAsia="黑体"/>
          <w:strike w:val="0"/>
          <w:dstrike w:val="0"/>
          <w:color w:val="auto"/>
          <w:kern w:val="0"/>
          <w:sz w:val="24"/>
          <w:szCs w:val="24"/>
          <w:highlight w:val="none"/>
          <w:u w:color="000000"/>
        </w:rPr>
        <w:t xml:space="preserve">  现场存在问题表</w:t>
      </w:r>
    </w:p>
    <w:tbl>
      <w:tblPr>
        <w:tblStyle w:val="8"/>
        <w:tblW w:w="940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845"/>
        <w:gridCol w:w="4740"/>
      </w:tblGrid>
      <w:tr w14:paraId="074143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3" w:hRule="atLeast"/>
          <w:tblHeader/>
          <w:jc w:val="center"/>
        </w:trPr>
        <w:tc>
          <w:tcPr>
            <w:tcW w:w="817" w:type="dxa"/>
            <w:vAlign w:val="center"/>
          </w:tcPr>
          <w:p w14:paraId="526D3ECB">
            <w:pPr>
              <w:keepLines w:val="0"/>
              <w:widowControl/>
              <w:tabs>
                <w:tab w:val="left" w:pos="6120"/>
              </w:tabs>
              <w:wordWrap/>
              <w:overflowPunct/>
              <w:topLinePunct w:val="0"/>
              <w:bidi w:val="0"/>
              <w:adjustRightInd w:val="0"/>
              <w:snapToGrid w:val="0"/>
              <w:spacing w:before="31" w:beforeLines="10" w:after="31" w:afterLines="10" w:line="360" w:lineRule="auto"/>
              <w:jc w:val="center"/>
              <w:textAlignment w:val="baseline"/>
              <w:rPr>
                <w:rFonts w:ascii="宋体" w:hAnsi="宋体"/>
                <w:b/>
                <w:bCs/>
                <w:strike w:val="0"/>
                <w:dstrike w:val="0"/>
                <w:color w:val="auto"/>
                <w:kern w:val="0"/>
                <w:position w:val="2"/>
                <w:highlight w:val="none"/>
                <w:u w:color="000000"/>
              </w:rPr>
            </w:pPr>
            <w:r>
              <w:rPr>
                <w:rFonts w:ascii="宋体" w:hAnsi="宋体"/>
                <w:b/>
                <w:bCs/>
                <w:strike w:val="0"/>
                <w:dstrike w:val="0"/>
                <w:color w:val="auto"/>
                <w:kern w:val="0"/>
                <w:position w:val="2"/>
                <w:highlight w:val="none"/>
                <w:u w:color="000000"/>
              </w:rPr>
              <w:t>序号</w:t>
            </w:r>
          </w:p>
        </w:tc>
        <w:tc>
          <w:tcPr>
            <w:tcW w:w="3845" w:type="dxa"/>
            <w:vAlign w:val="center"/>
          </w:tcPr>
          <w:p w14:paraId="1D49A565">
            <w:pPr>
              <w:keepLines w:val="0"/>
              <w:widowControl/>
              <w:tabs>
                <w:tab w:val="left" w:pos="6120"/>
              </w:tabs>
              <w:wordWrap/>
              <w:overflowPunct/>
              <w:topLinePunct w:val="0"/>
              <w:bidi w:val="0"/>
              <w:adjustRightInd w:val="0"/>
              <w:snapToGrid w:val="0"/>
              <w:spacing w:before="31" w:beforeLines="10" w:after="31" w:afterLines="10" w:line="360" w:lineRule="auto"/>
              <w:jc w:val="center"/>
              <w:textAlignment w:val="baseline"/>
              <w:rPr>
                <w:rFonts w:ascii="宋体" w:hAnsi="宋体"/>
                <w:b/>
                <w:bCs/>
                <w:strike w:val="0"/>
                <w:dstrike w:val="0"/>
                <w:color w:val="auto"/>
                <w:kern w:val="0"/>
                <w:position w:val="2"/>
                <w:highlight w:val="none"/>
                <w:u w:color="000000"/>
              </w:rPr>
            </w:pPr>
            <w:r>
              <w:rPr>
                <w:rFonts w:ascii="宋体" w:hAnsi="宋体"/>
                <w:b/>
                <w:bCs/>
                <w:strike w:val="0"/>
                <w:dstrike w:val="0"/>
                <w:color w:val="auto"/>
                <w:kern w:val="0"/>
                <w:position w:val="2"/>
                <w:highlight w:val="none"/>
                <w:u w:color="000000"/>
              </w:rPr>
              <w:t>企业存在的问题</w:t>
            </w:r>
          </w:p>
        </w:tc>
        <w:tc>
          <w:tcPr>
            <w:tcW w:w="4740" w:type="dxa"/>
            <w:vAlign w:val="center"/>
          </w:tcPr>
          <w:p w14:paraId="3786C895">
            <w:pPr>
              <w:keepLines w:val="0"/>
              <w:widowControl/>
              <w:tabs>
                <w:tab w:val="left" w:pos="6120"/>
              </w:tabs>
              <w:wordWrap/>
              <w:overflowPunct/>
              <w:topLinePunct w:val="0"/>
              <w:bidi w:val="0"/>
              <w:adjustRightInd w:val="0"/>
              <w:snapToGrid w:val="0"/>
              <w:spacing w:before="31" w:beforeLines="10" w:after="31" w:afterLines="10" w:line="360" w:lineRule="auto"/>
              <w:jc w:val="center"/>
              <w:textAlignment w:val="baseline"/>
              <w:rPr>
                <w:rFonts w:ascii="宋体" w:hAnsi="宋体"/>
                <w:b/>
                <w:bCs/>
                <w:strike w:val="0"/>
                <w:dstrike w:val="0"/>
                <w:color w:val="auto"/>
                <w:kern w:val="0"/>
                <w:position w:val="2"/>
                <w:highlight w:val="none"/>
                <w:u w:color="000000"/>
              </w:rPr>
            </w:pPr>
            <w:r>
              <w:rPr>
                <w:rFonts w:ascii="宋体" w:hAnsi="宋体"/>
                <w:b/>
                <w:bCs/>
                <w:strike w:val="0"/>
                <w:dstrike w:val="0"/>
                <w:color w:val="auto"/>
                <w:kern w:val="0"/>
                <w:position w:val="2"/>
                <w:highlight w:val="none"/>
                <w:u w:color="000000"/>
              </w:rPr>
              <w:t>整改建议措施</w:t>
            </w:r>
          </w:p>
        </w:tc>
      </w:tr>
      <w:tr w14:paraId="5CDC83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40710F4">
            <w:pPr>
              <w:keepLines w:val="0"/>
              <w:widowControl/>
              <w:tabs>
                <w:tab w:val="left" w:pos="6120"/>
              </w:tabs>
              <w:wordWrap/>
              <w:overflowPunct/>
              <w:topLinePunct w:val="0"/>
              <w:bidi w:val="0"/>
              <w:adjustRightInd w:val="0"/>
              <w:snapToGrid w:val="0"/>
              <w:spacing w:before="31" w:beforeLines="10" w:after="31" w:afterLines="10" w:line="360" w:lineRule="auto"/>
              <w:jc w:val="center"/>
              <w:textAlignment w:val="baseline"/>
              <w:rPr>
                <w:rFonts w:ascii="宋体" w:hAnsi="宋体"/>
                <w:bCs/>
                <w:strike w:val="0"/>
                <w:dstrike w:val="0"/>
                <w:color w:val="auto"/>
                <w:kern w:val="0"/>
                <w:position w:val="2"/>
                <w:highlight w:val="none"/>
                <w:u w:color="000000"/>
              </w:rPr>
            </w:pPr>
            <w:r>
              <w:rPr>
                <w:rFonts w:hint="eastAsia" w:ascii="宋体" w:hAnsi="宋体"/>
                <w:bCs/>
                <w:strike w:val="0"/>
                <w:dstrike w:val="0"/>
                <w:color w:val="auto"/>
                <w:kern w:val="0"/>
                <w:position w:val="2"/>
                <w:highlight w:val="none"/>
                <w:u w:color="000000"/>
              </w:rPr>
              <w:t>1</w:t>
            </w:r>
          </w:p>
        </w:tc>
        <w:tc>
          <w:tcPr>
            <w:tcW w:w="3845" w:type="dxa"/>
            <w:vAlign w:val="center"/>
          </w:tcPr>
          <w:p w14:paraId="22D544E7">
            <w:pPr>
              <w:keepLines w:val="0"/>
              <w:wordWrap/>
              <w:overflowPunct/>
              <w:topLinePunct w:val="0"/>
              <w:bidi w:val="0"/>
              <w:adjustRightInd w:val="0"/>
              <w:snapToGrid w:val="0"/>
              <w:spacing w:line="360" w:lineRule="auto"/>
              <w:jc w:val="center"/>
              <w:rPr>
                <w:rFonts w:hint="eastAsia" w:ascii="宋体" w:hAnsi="宋体" w:eastAsia="宋体"/>
                <w:strike w:val="0"/>
                <w:dstrike w:val="0"/>
                <w:color w:val="auto"/>
                <w:kern w:val="0"/>
                <w:highlight w:val="none"/>
                <w:u w:color="000000"/>
                <w:lang w:val="en-US" w:eastAsia="zh-CN"/>
              </w:rPr>
            </w:pPr>
            <w:r>
              <w:rPr>
                <w:rFonts w:hint="eastAsia" w:ascii="宋体" w:hAnsi="宋体"/>
                <w:strike w:val="0"/>
                <w:dstrike w:val="0"/>
                <w:color w:val="auto"/>
                <w:highlight w:val="none"/>
                <w:lang w:val="en-US" w:eastAsia="zh-CN"/>
              </w:rPr>
              <w:t>液位仪、测漏仪</w:t>
            </w:r>
            <w:r>
              <w:rPr>
                <w:rFonts w:hint="eastAsia" w:ascii="宋体" w:hAnsi="宋体" w:cs="宋体"/>
                <w:strike w:val="0"/>
                <w:dstrike w:val="0"/>
                <w:color w:val="auto"/>
                <w:sz w:val="21"/>
                <w:szCs w:val="21"/>
                <w:highlight w:val="none"/>
                <w:lang w:val="en-US" w:eastAsia="zh-CN"/>
              </w:rPr>
              <w:t>未</w:t>
            </w:r>
            <w:r>
              <w:rPr>
                <w:rFonts w:hint="eastAsia" w:ascii="宋体" w:hAnsi="宋体" w:eastAsia="宋体" w:cs="宋体"/>
                <w:strike w:val="0"/>
                <w:dstrike w:val="0"/>
                <w:color w:val="auto"/>
                <w:sz w:val="21"/>
                <w:szCs w:val="21"/>
                <w:highlight w:val="none"/>
                <w:lang w:val="en-US" w:eastAsia="zh-CN"/>
              </w:rPr>
              <w:t>设UPS电源</w:t>
            </w:r>
            <w:r>
              <w:rPr>
                <w:rFonts w:hint="eastAsia" w:ascii="宋体" w:hAnsi="宋体" w:cs="宋体"/>
                <w:strike w:val="0"/>
                <w:dstrike w:val="0"/>
                <w:color w:val="auto"/>
                <w:sz w:val="21"/>
                <w:szCs w:val="21"/>
                <w:highlight w:val="none"/>
                <w:lang w:val="en-US" w:eastAsia="zh-CN"/>
              </w:rPr>
              <w:t>。</w:t>
            </w:r>
          </w:p>
        </w:tc>
        <w:tc>
          <w:tcPr>
            <w:tcW w:w="4740" w:type="dxa"/>
            <w:vAlign w:val="center"/>
          </w:tcPr>
          <w:p w14:paraId="24BE272A">
            <w:pPr>
              <w:keepLines w:val="0"/>
              <w:wordWrap/>
              <w:overflowPunct/>
              <w:topLinePunct w:val="0"/>
              <w:bidi w:val="0"/>
              <w:adjustRightInd w:val="0"/>
              <w:snapToGrid w:val="0"/>
              <w:spacing w:line="360" w:lineRule="auto"/>
              <w:jc w:val="center"/>
              <w:rPr>
                <w:rFonts w:ascii="宋体" w:hAnsi="宋体"/>
                <w:strike w:val="0"/>
                <w:dstrike w:val="0"/>
                <w:color w:val="auto"/>
                <w:kern w:val="0"/>
                <w:highlight w:val="none"/>
                <w:u w:color="000000"/>
              </w:rPr>
            </w:pPr>
            <w:r>
              <w:rPr>
                <w:rFonts w:hint="eastAsia" w:ascii="宋体" w:hAnsi="宋体"/>
                <w:strike w:val="0"/>
                <w:dstrike w:val="0"/>
                <w:color w:val="auto"/>
                <w:highlight w:val="none"/>
                <w:lang w:val="en-US" w:eastAsia="zh-CN"/>
              </w:rPr>
              <w:t>液位仪、测漏仪</w:t>
            </w:r>
            <w:r>
              <w:rPr>
                <w:rFonts w:hint="eastAsia" w:ascii="宋体" w:hAnsi="宋体" w:cs="宋体"/>
                <w:strike w:val="0"/>
                <w:dstrike w:val="0"/>
                <w:color w:val="auto"/>
                <w:sz w:val="21"/>
                <w:szCs w:val="21"/>
                <w:highlight w:val="none"/>
                <w:lang w:val="en-US" w:eastAsia="zh-CN"/>
              </w:rPr>
              <w:t>应</w:t>
            </w:r>
            <w:r>
              <w:rPr>
                <w:rFonts w:hint="eastAsia" w:ascii="宋体" w:hAnsi="宋体" w:eastAsia="宋体" w:cs="宋体"/>
                <w:strike w:val="0"/>
                <w:dstrike w:val="0"/>
                <w:color w:val="auto"/>
                <w:sz w:val="21"/>
                <w:szCs w:val="21"/>
                <w:highlight w:val="none"/>
                <w:lang w:val="en-US" w:eastAsia="zh-CN"/>
              </w:rPr>
              <w:t>设UPS电源</w:t>
            </w:r>
            <w:r>
              <w:rPr>
                <w:rFonts w:hint="eastAsia" w:ascii="宋体" w:hAnsi="宋体" w:cs="宋体"/>
                <w:strike w:val="0"/>
                <w:dstrike w:val="0"/>
                <w:color w:val="auto"/>
                <w:sz w:val="21"/>
                <w:szCs w:val="21"/>
                <w:highlight w:val="none"/>
                <w:lang w:val="en-US" w:eastAsia="zh-CN"/>
              </w:rPr>
              <w:t>。</w:t>
            </w:r>
          </w:p>
        </w:tc>
      </w:tr>
    </w:tbl>
    <w:p w14:paraId="01542ACE">
      <w:pPr>
        <w:pStyle w:val="15"/>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strike w:val="0"/>
          <w:dstrike w:val="0"/>
          <w:color w:val="auto"/>
          <w:highlight w:val="none"/>
        </w:rPr>
      </w:pPr>
      <w:r>
        <w:rPr>
          <w:rFonts w:hint="eastAsia" w:ascii="宋体"/>
          <w:strike w:val="0"/>
          <w:dstrike w:val="0"/>
          <w:color w:val="auto"/>
          <w:highlight w:val="none"/>
        </w:rPr>
        <w:t>该加油站在安全管理、站址选择及总平面布置、加油工艺及设施、其它设施等方面符合有关法律、标准规范的要求。</w:t>
      </w:r>
    </w:p>
    <w:p w14:paraId="41B664B8">
      <w:pPr>
        <w:pStyle w:val="15"/>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strike w:val="0"/>
          <w:dstrike w:val="0"/>
          <w:color w:val="auto"/>
          <w:highlight w:val="none"/>
        </w:rPr>
      </w:pPr>
    </w:p>
    <w:p w14:paraId="60F8B9C8">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strike w:val="0"/>
          <w:dstrike w:val="0"/>
          <w:color w:val="auto"/>
          <w:kern w:val="0"/>
          <w:sz w:val="24"/>
          <w:szCs w:val="24"/>
          <w:highlight w:val="none"/>
          <w:u w:color="000000"/>
        </w:rPr>
      </w:pPr>
    </w:p>
    <w:p w14:paraId="6C86F901">
      <w:pPr>
        <w:pStyle w:val="11"/>
        <w:keepLines w:val="0"/>
        <w:wordWrap/>
        <w:overflowPunct/>
        <w:topLinePunct w:val="0"/>
        <w:bidi w:val="0"/>
        <w:adjustRightInd w:val="0"/>
        <w:snapToGrid w:val="0"/>
        <w:spacing w:line="360" w:lineRule="auto"/>
        <w:rPr>
          <w:rFonts w:hint="eastAsia" w:ascii="黑体" w:hAnsi="黑体" w:eastAsia="黑体" w:cs="黑体"/>
          <w:strike w:val="0"/>
          <w:dstrike w:val="0"/>
          <w:color w:val="auto"/>
          <w:kern w:val="0"/>
          <w:sz w:val="24"/>
          <w:szCs w:val="24"/>
          <w:highlight w:val="none"/>
          <w:u w:color="000000"/>
        </w:rPr>
      </w:pPr>
    </w:p>
    <w:p w14:paraId="3E2C8735">
      <w:pPr>
        <w:pStyle w:val="11"/>
        <w:keepLines w:val="0"/>
        <w:wordWrap/>
        <w:overflowPunct/>
        <w:topLinePunct w:val="0"/>
        <w:bidi w:val="0"/>
        <w:adjustRightInd w:val="0"/>
        <w:snapToGrid w:val="0"/>
        <w:spacing w:line="360" w:lineRule="auto"/>
        <w:rPr>
          <w:rFonts w:hint="eastAsia" w:ascii="黑体" w:hAnsi="黑体" w:eastAsia="黑体" w:cs="黑体"/>
          <w:strike w:val="0"/>
          <w:dstrike w:val="0"/>
          <w:color w:val="auto"/>
          <w:kern w:val="0"/>
          <w:sz w:val="24"/>
          <w:szCs w:val="24"/>
          <w:highlight w:val="none"/>
          <w:u w:color="000000"/>
        </w:rPr>
      </w:pPr>
    </w:p>
    <w:p w14:paraId="17E09AD3">
      <w:pPr>
        <w:pStyle w:val="11"/>
        <w:keepLines w:val="0"/>
        <w:wordWrap/>
        <w:overflowPunct/>
        <w:topLinePunct w:val="0"/>
        <w:bidi w:val="0"/>
        <w:adjustRightInd w:val="0"/>
        <w:snapToGrid w:val="0"/>
        <w:spacing w:line="360" w:lineRule="auto"/>
        <w:rPr>
          <w:rFonts w:hint="eastAsia" w:ascii="黑体" w:hAnsi="黑体" w:eastAsia="黑体" w:cs="黑体"/>
          <w:strike w:val="0"/>
          <w:dstrike w:val="0"/>
          <w:color w:val="auto"/>
          <w:kern w:val="0"/>
          <w:sz w:val="24"/>
          <w:szCs w:val="24"/>
          <w:highlight w:val="none"/>
          <w:u w:color="000000"/>
        </w:rPr>
      </w:pPr>
    </w:p>
    <w:p w14:paraId="38B9F8E8">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strike w:val="0"/>
          <w:dstrike w:val="0"/>
          <w:color w:val="auto"/>
          <w:kern w:val="0"/>
          <w:sz w:val="24"/>
          <w:szCs w:val="24"/>
          <w:highlight w:val="none"/>
          <w:u w:color="000000"/>
        </w:rPr>
      </w:pPr>
    </w:p>
    <w:p w14:paraId="580AF635">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strike w:val="0"/>
          <w:dstrike w:val="0"/>
          <w:color w:val="auto"/>
          <w:kern w:val="0"/>
          <w:sz w:val="24"/>
          <w:szCs w:val="24"/>
          <w:highlight w:val="none"/>
          <w:u w:color="000000"/>
        </w:rPr>
      </w:pPr>
    </w:p>
    <w:p w14:paraId="1B261209">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strike w:val="0"/>
          <w:dstrike w:val="0"/>
          <w:color w:val="auto"/>
          <w:kern w:val="0"/>
          <w:sz w:val="24"/>
          <w:szCs w:val="24"/>
          <w:highlight w:val="none"/>
          <w:u w:color="000000"/>
        </w:rPr>
      </w:pPr>
    </w:p>
    <w:p w14:paraId="535B5D1F">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strike w:val="0"/>
          <w:dstrike w:val="0"/>
          <w:color w:val="auto"/>
          <w:kern w:val="0"/>
          <w:sz w:val="24"/>
          <w:szCs w:val="24"/>
          <w:highlight w:val="none"/>
          <w:u w:color="000000"/>
        </w:rPr>
      </w:pPr>
    </w:p>
    <w:p w14:paraId="61F3B686">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strike w:val="0"/>
          <w:dstrike w:val="0"/>
          <w:color w:val="auto"/>
          <w:kern w:val="0"/>
          <w:sz w:val="24"/>
          <w:szCs w:val="24"/>
          <w:highlight w:val="none"/>
          <w:u w:color="000000"/>
        </w:rPr>
      </w:pPr>
    </w:p>
    <w:p w14:paraId="6187FF6D">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strike w:val="0"/>
          <w:dstrike w:val="0"/>
          <w:color w:val="auto"/>
          <w:kern w:val="0"/>
          <w:sz w:val="24"/>
          <w:szCs w:val="24"/>
          <w:highlight w:val="none"/>
          <w:u w:color="000000"/>
        </w:rPr>
      </w:pPr>
    </w:p>
    <w:p w14:paraId="4A9E7A92">
      <w:pPr>
        <w:pStyle w:val="3"/>
        <w:keepLines w:val="0"/>
        <w:wordWrap/>
        <w:overflowPunct/>
        <w:topLinePunct w:val="0"/>
        <w:bidi w:val="0"/>
        <w:adjustRightInd w:val="0"/>
        <w:snapToGrid w:val="0"/>
        <w:spacing w:line="360" w:lineRule="auto"/>
        <w:rPr>
          <w:rFonts w:hint="eastAsia"/>
          <w:strike w:val="0"/>
          <w:dstrike w:val="0"/>
          <w:color w:val="auto"/>
          <w:highlight w:val="none"/>
        </w:rPr>
      </w:pPr>
    </w:p>
    <w:p w14:paraId="0DE5101B">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strike w:val="0"/>
          <w:dstrike w:val="0"/>
          <w:color w:val="auto"/>
          <w:kern w:val="0"/>
          <w:sz w:val="24"/>
          <w:szCs w:val="24"/>
          <w:highlight w:val="none"/>
          <w:u w:color="000000"/>
        </w:rPr>
      </w:pPr>
    </w:p>
    <w:p w14:paraId="012BE3DC">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strike w:val="0"/>
          <w:dstrike w:val="0"/>
          <w:color w:val="auto"/>
          <w:kern w:val="0"/>
          <w:sz w:val="24"/>
          <w:szCs w:val="24"/>
          <w:highlight w:val="none"/>
          <w:u w:color="000000"/>
        </w:rPr>
      </w:pPr>
    </w:p>
    <w:p w14:paraId="5205E5EA">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strike w:val="0"/>
          <w:dstrike w:val="0"/>
          <w:color w:val="auto"/>
          <w:kern w:val="0"/>
          <w:sz w:val="24"/>
          <w:szCs w:val="24"/>
          <w:highlight w:val="none"/>
          <w:u w:color="000000"/>
        </w:rPr>
      </w:pPr>
    </w:p>
    <w:p w14:paraId="1815CECF">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strike w:val="0"/>
          <w:dstrike w:val="0"/>
          <w:color w:val="auto"/>
          <w:kern w:val="0"/>
          <w:sz w:val="24"/>
          <w:szCs w:val="24"/>
          <w:highlight w:val="none"/>
          <w:u w:color="000000"/>
        </w:rPr>
      </w:pPr>
    </w:p>
    <w:p w14:paraId="4F89F8C1">
      <w:pPr>
        <w:pStyle w:val="4"/>
        <w:keepNext w:val="0"/>
        <w:keepLines w:val="0"/>
        <w:pageBreakBefore w:val="0"/>
        <w:widowControl w:val="0"/>
        <w:kinsoku/>
        <w:wordWrap/>
        <w:overflowPunct/>
        <w:topLinePunct w:val="0"/>
        <w:autoSpaceDE/>
        <w:autoSpaceDN/>
        <w:bidi w:val="0"/>
        <w:adjustRightInd w:val="0"/>
        <w:snapToGrid w:val="0"/>
        <w:spacing w:before="312" w:beforeLines="100" w:after="312" w:afterLines="100" w:line="360" w:lineRule="auto"/>
        <w:ind w:firstLine="0"/>
        <w:textAlignment w:val="auto"/>
        <w:rPr>
          <w:strike w:val="0"/>
          <w:dstrike w:val="0"/>
          <w:color w:val="auto"/>
          <w:highlight w:val="none"/>
        </w:rPr>
      </w:pPr>
    </w:p>
    <w:p w14:paraId="54C1ABB2">
      <w:pPr>
        <w:pStyle w:val="4"/>
        <w:keepNext w:val="0"/>
        <w:keepLines w:val="0"/>
        <w:pageBreakBefore w:val="0"/>
        <w:widowControl w:val="0"/>
        <w:kinsoku/>
        <w:wordWrap/>
        <w:overflowPunct/>
        <w:topLinePunct w:val="0"/>
        <w:autoSpaceDE/>
        <w:autoSpaceDN/>
        <w:bidi w:val="0"/>
        <w:adjustRightInd w:val="0"/>
        <w:snapToGrid w:val="0"/>
        <w:spacing w:before="312" w:beforeLines="100" w:after="312" w:afterLines="100" w:line="360" w:lineRule="auto"/>
        <w:ind w:firstLine="0"/>
        <w:textAlignment w:val="auto"/>
        <w:rPr>
          <w:rFonts w:hint="eastAsia"/>
          <w:strike w:val="0"/>
          <w:dstrike w:val="0"/>
          <w:color w:val="auto"/>
          <w:highlight w:val="none"/>
        </w:rPr>
      </w:pPr>
      <w:r>
        <w:rPr>
          <w:rFonts w:hint="eastAsia"/>
          <w:strike w:val="0"/>
          <w:dstrike w:val="0"/>
          <w:color w:val="auto"/>
          <w:highlight w:val="none"/>
        </w:rPr>
        <w:t>第二节 整改复查情况表</w:t>
      </w:r>
    </w:p>
    <w:p w14:paraId="33805676">
      <w:pPr>
        <w:keepLines w:val="0"/>
        <w:widowControl/>
        <w:wordWrap/>
        <w:overflowPunct/>
        <w:topLinePunct w:val="0"/>
        <w:bidi w:val="0"/>
        <w:adjustRightInd w:val="0"/>
        <w:snapToGrid w:val="0"/>
        <w:spacing w:line="360" w:lineRule="auto"/>
        <w:jc w:val="center"/>
        <w:textAlignment w:val="baseline"/>
        <w:rPr>
          <w:rFonts w:eastAsia="黑体"/>
          <w:strike w:val="0"/>
          <w:dstrike w:val="0"/>
          <w:color w:val="auto"/>
          <w:kern w:val="0"/>
          <w:sz w:val="24"/>
          <w:szCs w:val="24"/>
          <w:highlight w:val="none"/>
          <w:u w:color="000000"/>
        </w:rPr>
      </w:pPr>
      <w:r>
        <w:rPr>
          <w:rFonts w:hint="eastAsia" w:ascii="黑体" w:hAnsi="黑体" w:eastAsia="黑体" w:cs="黑体"/>
          <w:strike w:val="0"/>
          <w:dstrike w:val="0"/>
          <w:color w:val="auto"/>
          <w:kern w:val="0"/>
          <w:sz w:val="24"/>
          <w:szCs w:val="24"/>
          <w:highlight w:val="none"/>
          <w:u w:color="000000"/>
        </w:rPr>
        <w:t>表6.2-1</w:t>
      </w:r>
      <w:r>
        <w:rPr>
          <w:rFonts w:hint="eastAsia" w:eastAsia="黑体"/>
          <w:strike w:val="0"/>
          <w:dstrike w:val="0"/>
          <w:color w:val="auto"/>
          <w:kern w:val="0"/>
          <w:sz w:val="24"/>
          <w:szCs w:val="24"/>
          <w:highlight w:val="none"/>
          <w:u w:color="000000"/>
        </w:rPr>
        <w:t xml:space="preserve">  存在问题整改复查情况表</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37"/>
        <w:gridCol w:w="3409"/>
        <w:gridCol w:w="3717"/>
        <w:gridCol w:w="1525"/>
      </w:tblGrid>
      <w:tr w14:paraId="76E783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jc w:val="center"/>
        </w:trPr>
        <w:tc>
          <w:tcPr>
            <w:tcW w:w="343" w:type="pct"/>
            <w:vAlign w:val="center"/>
          </w:tcPr>
          <w:p w14:paraId="4B5038CA">
            <w:pPr>
              <w:pStyle w:val="18"/>
              <w:keepLines w:val="0"/>
              <w:widowControl w:val="0"/>
              <w:wordWrap/>
              <w:overflowPunct/>
              <w:topLinePunct w:val="0"/>
              <w:bidi w:val="0"/>
              <w:adjustRightInd w:val="0"/>
              <w:snapToGrid w:val="0"/>
              <w:spacing w:line="360" w:lineRule="auto"/>
              <w:rPr>
                <w:rFonts w:ascii="宋体" w:hAnsi="宋体"/>
                <w:b/>
                <w:bCs/>
                <w:strike w:val="0"/>
                <w:dstrike w:val="0"/>
                <w:color w:val="auto"/>
                <w:highlight w:val="none"/>
              </w:rPr>
            </w:pPr>
            <w:r>
              <w:rPr>
                <w:rFonts w:ascii="宋体" w:hAnsi="宋体"/>
                <w:b/>
                <w:bCs/>
                <w:strike w:val="0"/>
                <w:dstrike w:val="0"/>
                <w:color w:val="auto"/>
                <w:highlight w:val="none"/>
              </w:rPr>
              <w:t>序号</w:t>
            </w:r>
          </w:p>
        </w:tc>
        <w:tc>
          <w:tcPr>
            <w:tcW w:w="1835" w:type="pct"/>
            <w:vAlign w:val="center"/>
          </w:tcPr>
          <w:p w14:paraId="161C37E0">
            <w:pPr>
              <w:pStyle w:val="18"/>
              <w:keepLines w:val="0"/>
              <w:widowControl w:val="0"/>
              <w:wordWrap/>
              <w:overflowPunct/>
              <w:topLinePunct w:val="0"/>
              <w:bidi w:val="0"/>
              <w:adjustRightInd w:val="0"/>
              <w:snapToGrid w:val="0"/>
              <w:spacing w:line="360" w:lineRule="auto"/>
              <w:rPr>
                <w:rFonts w:ascii="宋体" w:hAnsi="宋体"/>
                <w:b/>
                <w:bCs/>
                <w:strike w:val="0"/>
                <w:dstrike w:val="0"/>
                <w:color w:val="auto"/>
                <w:highlight w:val="none"/>
              </w:rPr>
            </w:pPr>
            <w:r>
              <w:rPr>
                <w:rFonts w:ascii="宋体" w:hAnsi="宋体"/>
                <w:b/>
                <w:bCs/>
                <w:strike w:val="0"/>
                <w:dstrike w:val="0"/>
                <w:color w:val="auto"/>
                <w:highlight w:val="none"/>
              </w:rPr>
              <w:t>存在问题</w:t>
            </w:r>
          </w:p>
        </w:tc>
        <w:tc>
          <w:tcPr>
            <w:tcW w:w="2001" w:type="pct"/>
            <w:vAlign w:val="center"/>
          </w:tcPr>
          <w:p w14:paraId="06DE3D59">
            <w:pPr>
              <w:pStyle w:val="18"/>
              <w:keepLines w:val="0"/>
              <w:widowControl w:val="0"/>
              <w:wordWrap/>
              <w:overflowPunct/>
              <w:topLinePunct w:val="0"/>
              <w:bidi w:val="0"/>
              <w:adjustRightInd w:val="0"/>
              <w:snapToGrid w:val="0"/>
              <w:spacing w:line="360" w:lineRule="auto"/>
              <w:rPr>
                <w:rFonts w:ascii="宋体" w:hAnsi="宋体"/>
                <w:b/>
                <w:bCs/>
                <w:strike w:val="0"/>
                <w:dstrike w:val="0"/>
                <w:color w:val="auto"/>
                <w:highlight w:val="none"/>
              </w:rPr>
            </w:pPr>
            <w:r>
              <w:rPr>
                <w:rFonts w:ascii="宋体" w:hAnsi="宋体"/>
                <w:b/>
                <w:bCs/>
                <w:strike w:val="0"/>
                <w:dstrike w:val="0"/>
                <w:color w:val="auto"/>
                <w:highlight w:val="none"/>
              </w:rPr>
              <w:t>整改措施</w:t>
            </w:r>
          </w:p>
        </w:tc>
        <w:tc>
          <w:tcPr>
            <w:tcW w:w="819" w:type="pct"/>
            <w:vAlign w:val="center"/>
          </w:tcPr>
          <w:p w14:paraId="79285AA5">
            <w:pPr>
              <w:pStyle w:val="18"/>
              <w:keepLines w:val="0"/>
              <w:widowControl w:val="0"/>
              <w:wordWrap/>
              <w:overflowPunct/>
              <w:topLinePunct w:val="0"/>
              <w:bidi w:val="0"/>
              <w:adjustRightInd w:val="0"/>
              <w:snapToGrid w:val="0"/>
              <w:spacing w:line="360" w:lineRule="auto"/>
              <w:rPr>
                <w:rFonts w:ascii="宋体" w:hAnsi="宋体"/>
                <w:b/>
                <w:bCs/>
                <w:strike w:val="0"/>
                <w:dstrike w:val="0"/>
                <w:color w:val="auto"/>
                <w:highlight w:val="none"/>
              </w:rPr>
            </w:pPr>
            <w:r>
              <w:rPr>
                <w:rFonts w:ascii="宋体" w:hAnsi="宋体"/>
                <w:b/>
                <w:bCs/>
                <w:strike w:val="0"/>
                <w:dstrike w:val="0"/>
                <w:color w:val="auto"/>
                <w:highlight w:val="none"/>
              </w:rPr>
              <w:t>复查情况</w:t>
            </w:r>
          </w:p>
        </w:tc>
      </w:tr>
      <w:tr w14:paraId="21D12F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343" w:type="pct"/>
            <w:vAlign w:val="center"/>
          </w:tcPr>
          <w:p w14:paraId="468F264E">
            <w:pPr>
              <w:keepLines w:val="0"/>
              <w:widowControl/>
              <w:tabs>
                <w:tab w:val="left" w:pos="6120"/>
              </w:tabs>
              <w:wordWrap/>
              <w:overflowPunct/>
              <w:topLinePunct w:val="0"/>
              <w:bidi w:val="0"/>
              <w:adjustRightInd w:val="0"/>
              <w:snapToGrid w:val="0"/>
              <w:spacing w:before="31" w:beforeLines="10" w:after="31" w:afterLines="10" w:line="360" w:lineRule="auto"/>
              <w:jc w:val="center"/>
              <w:textAlignment w:val="baseline"/>
              <w:rPr>
                <w:rFonts w:ascii="宋体" w:hAnsi="宋体" w:eastAsia="宋体" w:cs="Times New Roman"/>
                <w:bCs/>
                <w:strike w:val="0"/>
                <w:dstrike w:val="0"/>
                <w:color w:val="auto"/>
                <w:kern w:val="0"/>
                <w:position w:val="2"/>
                <w:sz w:val="21"/>
                <w:szCs w:val="21"/>
                <w:highlight w:val="none"/>
                <w:u w:color="000000"/>
                <w:lang w:val="en-US" w:eastAsia="zh-CN" w:bidi="ar-SA"/>
              </w:rPr>
            </w:pPr>
            <w:r>
              <w:rPr>
                <w:rFonts w:hint="eastAsia" w:ascii="宋体" w:hAnsi="宋体"/>
                <w:bCs/>
                <w:strike w:val="0"/>
                <w:dstrike w:val="0"/>
                <w:color w:val="auto"/>
                <w:kern w:val="0"/>
                <w:position w:val="2"/>
                <w:highlight w:val="none"/>
                <w:u w:color="000000"/>
              </w:rPr>
              <w:t>1</w:t>
            </w:r>
          </w:p>
        </w:tc>
        <w:tc>
          <w:tcPr>
            <w:tcW w:w="3513" w:type="dxa"/>
            <w:vAlign w:val="center"/>
          </w:tcPr>
          <w:p w14:paraId="200E52DD">
            <w:pPr>
              <w:keepLines w:val="0"/>
              <w:wordWrap/>
              <w:overflowPunct/>
              <w:topLinePunct w:val="0"/>
              <w:bidi w:val="0"/>
              <w:adjustRightInd w:val="0"/>
              <w:snapToGrid w:val="0"/>
              <w:spacing w:line="360" w:lineRule="auto"/>
              <w:jc w:val="center"/>
              <w:rPr>
                <w:rFonts w:hint="default" w:ascii="宋体" w:hAnsi="宋体" w:eastAsia="宋体" w:cs="Times New Roman"/>
                <w:strike w:val="0"/>
                <w:dstrike w:val="0"/>
                <w:color w:val="auto"/>
                <w:kern w:val="0"/>
                <w:sz w:val="21"/>
                <w:szCs w:val="21"/>
                <w:highlight w:val="none"/>
                <w:u w:color="000000"/>
                <w:lang w:val="en-US" w:eastAsia="zh-CN" w:bidi="ar-SA"/>
              </w:rPr>
            </w:pPr>
            <w:r>
              <w:rPr>
                <w:rFonts w:hint="eastAsia" w:ascii="宋体" w:hAnsi="宋体"/>
                <w:strike w:val="0"/>
                <w:dstrike w:val="0"/>
                <w:color w:val="auto"/>
                <w:highlight w:val="none"/>
                <w:lang w:val="en-US" w:eastAsia="zh-CN"/>
              </w:rPr>
              <w:t>液位仪、测漏仪</w:t>
            </w:r>
            <w:r>
              <w:rPr>
                <w:rFonts w:hint="eastAsia" w:ascii="宋体" w:hAnsi="宋体" w:cs="宋体"/>
                <w:strike w:val="0"/>
                <w:dstrike w:val="0"/>
                <w:color w:val="auto"/>
                <w:sz w:val="21"/>
                <w:szCs w:val="21"/>
                <w:highlight w:val="none"/>
                <w:lang w:val="en-US" w:eastAsia="zh-CN"/>
              </w:rPr>
              <w:t>未</w:t>
            </w:r>
            <w:r>
              <w:rPr>
                <w:rFonts w:hint="eastAsia" w:ascii="宋体" w:hAnsi="宋体" w:eastAsia="宋体" w:cs="宋体"/>
                <w:strike w:val="0"/>
                <w:dstrike w:val="0"/>
                <w:color w:val="auto"/>
                <w:sz w:val="21"/>
                <w:szCs w:val="21"/>
                <w:highlight w:val="none"/>
                <w:lang w:val="en-US" w:eastAsia="zh-CN"/>
              </w:rPr>
              <w:t>设UPS电源</w:t>
            </w:r>
            <w:r>
              <w:rPr>
                <w:rFonts w:hint="eastAsia" w:ascii="宋体" w:hAnsi="宋体" w:cs="宋体"/>
                <w:strike w:val="0"/>
                <w:dstrike w:val="0"/>
                <w:color w:val="auto"/>
                <w:sz w:val="21"/>
                <w:szCs w:val="21"/>
                <w:highlight w:val="none"/>
                <w:lang w:val="en-US" w:eastAsia="zh-CN"/>
              </w:rPr>
              <w:t>。</w:t>
            </w:r>
          </w:p>
        </w:tc>
        <w:tc>
          <w:tcPr>
            <w:tcW w:w="3830" w:type="dxa"/>
            <w:vAlign w:val="center"/>
          </w:tcPr>
          <w:p w14:paraId="7759BA5E">
            <w:pPr>
              <w:keepLines w:val="0"/>
              <w:wordWrap/>
              <w:overflowPunct/>
              <w:topLinePunct w:val="0"/>
              <w:bidi w:val="0"/>
              <w:adjustRightInd w:val="0"/>
              <w:snapToGrid w:val="0"/>
              <w:spacing w:line="360" w:lineRule="auto"/>
              <w:jc w:val="center"/>
              <w:rPr>
                <w:rFonts w:hint="eastAsia" w:ascii="宋体" w:hAnsi="宋体" w:eastAsia="宋体" w:cs="Times New Roman"/>
                <w:strike w:val="0"/>
                <w:dstrike w:val="0"/>
                <w:color w:val="auto"/>
                <w:kern w:val="0"/>
                <w:sz w:val="21"/>
                <w:szCs w:val="21"/>
                <w:highlight w:val="none"/>
                <w:u w:color="000000"/>
                <w:lang w:val="en-US" w:eastAsia="zh-CN" w:bidi="ar-SA"/>
              </w:rPr>
            </w:pPr>
            <w:r>
              <w:rPr>
                <w:rFonts w:hint="eastAsia" w:ascii="宋体" w:hAnsi="宋体"/>
                <w:strike w:val="0"/>
                <w:dstrike w:val="0"/>
                <w:color w:val="auto"/>
                <w:highlight w:val="none"/>
                <w:lang w:val="en-US" w:eastAsia="zh-CN"/>
              </w:rPr>
              <w:t>液位仪、测漏仪</w:t>
            </w:r>
            <w:r>
              <w:rPr>
                <w:rFonts w:hint="eastAsia" w:ascii="宋体" w:hAnsi="宋体" w:cs="宋体"/>
                <w:strike w:val="0"/>
                <w:dstrike w:val="0"/>
                <w:color w:val="auto"/>
                <w:sz w:val="21"/>
                <w:szCs w:val="21"/>
                <w:highlight w:val="none"/>
                <w:lang w:val="en-US" w:eastAsia="zh-CN"/>
              </w:rPr>
              <w:t>已</w:t>
            </w:r>
            <w:r>
              <w:rPr>
                <w:rFonts w:hint="eastAsia" w:ascii="宋体" w:hAnsi="宋体" w:eastAsia="宋体" w:cs="宋体"/>
                <w:strike w:val="0"/>
                <w:dstrike w:val="0"/>
                <w:color w:val="auto"/>
                <w:sz w:val="21"/>
                <w:szCs w:val="21"/>
                <w:highlight w:val="none"/>
                <w:lang w:val="en-US" w:eastAsia="zh-CN"/>
              </w:rPr>
              <w:t>设UPS电源</w:t>
            </w:r>
            <w:r>
              <w:rPr>
                <w:rFonts w:hint="eastAsia" w:ascii="宋体" w:hAnsi="宋体" w:cs="宋体"/>
                <w:strike w:val="0"/>
                <w:dstrike w:val="0"/>
                <w:color w:val="auto"/>
                <w:sz w:val="21"/>
                <w:szCs w:val="21"/>
                <w:highlight w:val="none"/>
                <w:lang w:val="en-US" w:eastAsia="zh-CN"/>
              </w:rPr>
              <w:t>。</w:t>
            </w:r>
          </w:p>
        </w:tc>
        <w:tc>
          <w:tcPr>
            <w:tcW w:w="819" w:type="pct"/>
            <w:vAlign w:val="center"/>
          </w:tcPr>
          <w:p w14:paraId="449B9EF2">
            <w:pPr>
              <w:keepLines w:val="0"/>
              <w:wordWrap/>
              <w:overflowPunct/>
              <w:topLinePunct w:val="0"/>
              <w:bidi w:val="0"/>
              <w:adjustRightInd w:val="0"/>
              <w:snapToGrid w:val="0"/>
              <w:spacing w:line="360" w:lineRule="auto"/>
              <w:jc w:val="center"/>
              <w:rPr>
                <w:rFonts w:hint="default" w:ascii="宋体" w:hAnsi="宋体" w:eastAsia="宋体" w:cs="宋体"/>
                <w:bCs/>
                <w:strike w:val="0"/>
                <w:dstrike w:val="0"/>
                <w:color w:val="auto"/>
                <w:highlight w:val="none"/>
                <w:lang w:val="en-US" w:eastAsia="zh-CN"/>
              </w:rPr>
            </w:pPr>
            <w:r>
              <w:rPr>
                <w:rFonts w:hint="eastAsia" w:ascii="宋体" w:hAnsi="宋体" w:cs="宋体"/>
                <w:bCs/>
                <w:strike w:val="0"/>
                <w:dstrike w:val="0"/>
                <w:color w:val="auto"/>
                <w:highlight w:val="none"/>
                <w:lang w:val="en-US" w:eastAsia="zh-CN"/>
              </w:rPr>
              <w:t>符合</w:t>
            </w:r>
          </w:p>
        </w:tc>
      </w:tr>
      <w:tr w14:paraId="6C0F7B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45" w:hRule="atLeast"/>
          <w:jc w:val="center"/>
        </w:trPr>
        <w:tc>
          <w:tcPr>
            <w:tcW w:w="5000" w:type="pct"/>
            <w:gridSpan w:val="4"/>
            <w:vAlign w:val="center"/>
          </w:tcPr>
          <w:p w14:paraId="4E94D9DA">
            <w:pPr>
              <w:pStyle w:val="15"/>
              <w:keepLines w:val="0"/>
              <w:widowControl w:val="0"/>
              <w:wordWrap/>
              <w:overflowPunct/>
              <w:topLinePunct w:val="0"/>
              <w:bidi w:val="0"/>
              <w:adjustRightInd w:val="0"/>
              <w:snapToGrid w:val="0"/>
              <w:spacing w:line="360" w:lineRule="auto"/>
              <w:ind w:firstLine="420"/>
              <w:jc w:val="left"/>
              <w:rPr>
                <w:rFonts w:ascii="宋体" w:hAnsi="宋体" w:cs="宋体"/>
                <w:strike w:val="0"/>
                <w:dstrike w:val="0"/>
                <w:color w:val="auto"/>
                <w:kern w:val="2"/>
                <w:szCs w:val="22"/>
                <w:highlight w:val="none"/>
              </w:rPr>
            </w:pPr>
            <w:r>
              <w:rPr>
                <w:rFonts w:hint="eastAsia" w:ascii="宋体" w:hAnsi="宋体" w:cs="宋体"/>
                <w:strike w:val="0"/>
                <w:dstrike w:val="0"/>
                <w:color w:val="auto"/>
                <w:kern w:val="2"/>
                <w:sz w:val="21"/>
                <w:szCs w:val="21"/>
                <w:highlight w:val="none"/>
              </w:rPr>
              <w:t>经复查，被评价单位尚有A项（0）项不符合，B项（0）项不符合。符合相关法律法规、标准规范的要求，该加油站现有风险程度可以接受。</w:t>
            </w:r>
          </w:p>
          <w:p w14:paraId="1B11E12D">
            <w:pPr>
              <w:pStyle w:val="21"/>
              <w:keepLines w:val="0"/>
              <w:wordWrap/>
              <w:overflowPunct/>
              <w:topLinePunct w:val="0"/>
              <w:bidi w:val="0"/>
              <w:adjustRightInd w:val="0"/>
              <w:snapToGrid w:val="0"/>
              <w:spacing w:line="360" w:lineRule="auto"/>
              <w:rPr>
                <w:rFonts w:ascii="宋体" w:hAnsi="宋体" w:cs="宋体"/>
                <w:strike w:val="0"/>
                <w:dstrike w:val="0"/>
                <w:color w:val="auto"/>
                <w:highlight w:val="none"/>
              </w:rPr>
            </w:pPr>
          </w:p>
          <w:p w14:paraId="29FB35BE">
            <w:pPr>
              <w:pStyle w:val="15"/>
              <w:keepLines w:val="0"/>
              <w:widowControl w:val="0"/>
              <w:wordWrap/>
              <w:overflowPunct/>
              <w:topLinePunct w:val="0"/>
              <w:bidi w:val="0"/>
              <w:adjustRightInd w:val="0"/>
              <w:snapToGrid w:val="0"/>
              <w:spacing w:line="360" w:lineRule="auto"/>
              <w:ind w:firstLine="199" w:firstLineChars="95"/>
              <w:rPr>
                <w:rFonts w:ascii="宋体" w:hAnsi="宋体" w:cs="宋体"/>
                <w:strike w:val="0"/>
                <w:dstrike w:val="0"/>
                <w:color w:val="auto"/>
                <w:kern w:val="2"/>
                <w:sz w:val="21"/>
                <w:szCs w:val="21"/>
                <w:highlight w:val="none"/>
              </w:rPr>
            </w:pPr>
            <w:r>
              <w:rPr>
                <w:rFonts w:hint="eastAsia" w:ascii="宋体" w:hAnsi="宋体" w:cs="宋体"/>
                <w:strike w:val="0"/>
                <w:dstrike w:val="0"/>
                <w:color w:val="auto"/>
                <w:kern w:val="2"/>
                <w:sz w:val="21"/>
                <w:szCs w:val="21"/>
                <w:highlight w:val="none"/>
              </w:rPr>
              <w:t>评价单位检查人员（签字）：</w:t>
            </w:r>
          </w:p>
          <w:p w14:paraId="3FD8E27B">
            <w:pPr>
              <w:pStyle w:val="21"/>
              <w:keepLines w:val="0"/>
              <w:wordWrap/>
              <w:overflowPunct/>
              <w:topLinePunct w:val="0"/>
              <w:bidi w:val="0"/>
              <w:adjustRightInd w:val="0"/>
              <w:snapToGrid w:val="0"/>
              <w:spacing w:line="360" w:lineRule="auto"/>
              <w:rPr>
                <w:rFonts w:ascii="宋体" w:hAnsi="宋体" w:cs="宋体"/>
                <w:strike w:val="0"/>
                <w:dstrike w:val="0"/>
                <w:color w:val="auto"/>
                <w:highlight w:val="none"/>
              </w:rPr>
            </w:pPr>
          </w:p>
          <w:p w14:paraId="28FC831F">
            <w:pPr>
              <w:pStyle w:val="21"/>
              <w:keepLines w:val="0"/>
              <w:wordWrap/>
              <w:overflowPunct/>
              <w:topLinePunct w:val="0"/>
              <w:bidi w:val="0"/>
              <w:adjustRightInd w:val="0"/>
              <w:snapToGrid w:val="0"/>
              <w:spacing w:line="360" w:lineRule="auto"/>
              <w:rPr>
                <w:rFonts w:ascii="宋体" w:hAnsi="宋体" w:cs="宋体"/>
                <w:strike w:val="0"/>
                <w:dstrike w:val="0"/>
                <w:color w:val="auto"/>
                <w:highlight w:val="none"/>
              </w:rPr>
            </w:pPr>
          </w:p>
          <w:p w14:paraId="7D9B66AE">
            <w:pPr>
              <w:pStyle w:val="21"/>
              <w:keepLines w:val="0"/>
              <w:wordWrap/>
              <w:overflowPunct/>
              <w:topLinePunct w:val="0"/>
              <w:bidi w:val="0"/>
              <w:adjustRightInd w:val="0"/>
              <w:snapToGrid w:val="0"/>
              <w:spacing w:line="360" w:lineRule="auto"/>
              <w:rPr>
                <w:rFonts w:ascii="宋体" w:hAnsi="宋体" w:cs="宋体"/>
                <w:strike w:val="0"/>
                <w:dstrike w:val="0"/>
                <w:color w:val="auto"/>
                <w:highlight w:val="none"/>
              </w:rPr>
            </w:pPr>
          </w:p>
          <w:p w14:paraId="7E26455F">
            <w:pPr>
              <w:pStyle w:val="21"/>
              <w:keepLines w:val="0"/>
              <w:wordWrap/>
              <w:overflowPunct/>
              <w:topLinePunct w:val="0"/>
              <w:bidi w:val="0"/>
              <w:adjustRightInd w:val="0"/>
              <w:snapToGrid w:val="0"/>
              <w:spacing w:line="360" w:lineRule="auto"/>
              <w:rPr>
                <w:rFonts w:ascii="宋体" w:hAnsi="宋体" w:cs="宋体"/>
                <w:strike w:val="0"/>
                <w:dstrike w:val="0"/>
                <w:color w:val="auto"/>
                <w:highlight w:val="none"/>
              </w:rPr>
            </w:pPr>
          </w:p>
          <w:p w14:paraId="7E90A988">
            <w:pPr>
              <w:pStyle w:val="15"/>
              <w:keepLines w:val="0"/>
              <w:widowControl w:val="0"/>
              <w:wordWrap/>
              <w:overflowPunct/>
              <w:topLinePunct w:val="0"/>
              <w:bidi w:val="0"/>
              <w:adjustRightInd w:val="0"/>
              <w:snapToGrid w:val="0"/>
              <w:spacing w:line="360" w:lineRule="auto"/>
              <w:ind w:firstLine="0" w:firstLineChars="0"/>
              <w:jc w:val="center"/>
              <w:rPr>
                <w:rFonts w:ascii="宋体" w:hAnsi="宋体" w:cs="宋体"/>
                <w:strike w:val="0"/>
                <w:dstrike w:val="0"/>
                <w:color w:val="auto"/>
                <w:kern w:val="2"/>
                <w:sz w:val="21"/>
                <w:szCs w:val="21"/>
                <w:highlight w:val="none"/>
              </w:rPr>
            </w:pPr>
            <w:r>
              <w:rPr>
                <w:rFonts w:hint="eastAsia" w:ascii="宋体" w:hAnsi="宋体" w:cs="宋体"/>
                <w:strike w:val="0"/>
                <w:dstrike w:val="0"/>
                <w:color w:val="auto"/>
                <w:kern w:val="2"/>
                <w:sz w:val="21"/>
                <w:szCs w:val="21"/>
                <w:highlight w:val="none"/>
              </w:rPr>
              <w:t xml:space="preserve">                                                           年    月    日 </w:t>
            </w:r>
          </w:p>
          <w:p w14:paraId="2129345C">
            <w:pPr>
              <w:pStyle w:val="15"/>
              <w:keepLines w:val="0"/>
              <w:widowControl w:val="0"/>
              <w:wordWrap/>
              <w:overflowPunct/>
              <w:topLinePunct w:val="0"/>
              <w:bidi w:val="0"/>
              <w:adjustRightInd w:val="0"/>
              <w:snapToGrid w:val="0"/>
              <w:spacing w:line="360" w:lineRule="auto"/>
              <w:ind w:firstLine="0" w:firstLineChars="0"/>
              <w:jc w:val="center"/>
              <w:rPr>
                <w:rFonts w:ascii="宋体" w:hAnsi="宋体" w:cs="宋体"/>
                <w:strike w:val="0"/>
                <w:dstrike w:val="0"/>
                <w:color w:val="auto"/>
                <w:kern w:val="2"/>
                <w:sz w:val="21"/>
                <w:szCs w:val="21"/>
                <w:highlight w:val="none"/>
              </w:rPr>
            </w:pPr>
            <w:r>
              <w:rPr>
                <w:rFonts w:hint="eastAsia" w:ascii="宋体" w:hAnsi="宋体"/>
                <w:strike w:val="0"/>
                <w:dstrike w:val="0"/>
                <w:color w:val="auto"/>
                <w:kern w:val="2"/>
                <w:sz w:val="21"/>
                <w:szCs w:val="21"/>
                <w:highlight w:val="none"/>
              </w:rPr>
              <w:t xml:space="preserve">                                                            </w:t>
            </w:r>
            <w:r>
              <w:rPr>
                <w:rFonts w:ascii="宋体" w:hAnsi="宋体"/>
                <w:strike w:val="0"/>
                <w:dstrike w:val="0"/>
                <w:color w:val="auto"/>
                <w:kern w:val="2"/>
                <w:sz w:val="21"/>
                <w:szCs w:val="21"/>
                <w:highlight w:val="none"/>
              </w:rPr>
              <w:t>（单位盖章）</w:t>
            </w:r>
            <w:r>
              <w:rPr>
                <w:rFonts w:hint="eastAsia" w:ascii="宋体" w:hAnsi="宋体" w:cs="宋体"/>
                <w:strike w:val="0"/>
                <w:dstrike w:val="0"/>
                <w:color w:val="auto"/>
                <w:kern w:val="2"/>
                <w:sz w:val="21"/>
                <w:szCs w:val="21"/>
                <w:highlight w:val="none"/>
              </w:rPr>
              <w:t xml:space="preserve">                                                        </w:t>
            </w:r>
          </w:p>
        </w:tc>
      </w:tr>
      <w:tr w14:paraId="14DB39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85" w:hRule="atLeast"/>
          <w:jc w:val="center"/>
        </w:trPr>
        <w:tc>
          <w:tcPr>
            <w:tcW w:w="5000" w:type="pct"/>
            <w:gridSpan w:val="4"/>
          </w:tcPr>
          <w:p w14:paraId="4F615784">
            <w:pPr>
              <w:pStyle w:val="21"/>
              <w:keepLines w:val="0"/>
              <w:wordWrap/>
              <w:overflowPunct/>
              <w:topLinePunct w:val="0"/>
              <w:bidi w:val="0"/>
              <w:adjustRightInd w:val="0"/>
              <w:snapToGrid w:val="0"/>
              <w:spacing w:line="360" w:lineRule="auto"/>
              <w:rPr>
                <w:rFonts w:ascii="宋体" w:hAnsi="宋体"/>
                <w:strike w:val="0"/>
                <w:dstrike w:val="0"/>
                <w:color w:val="auto"/>
                <w:highlight w:val="none"/>
              </w:rPr>
            </w:pPr>
          </w:p>
          <w:p w14:paraId="634EC208">
            <w:pPr>
              <w:pStyle w:val="15"/>
              <w:keepLines w:val="0"/>
              <w:widowControl w:val="0"/>
              <w:wordWrap/>
              <w:overflowPunct/>
              <w:topLinePunct w:val="0"/>
              <w:bidi w:val="0"/>
              <w:adjustRightInd w:val="0"/>
              <w:snapToGrid w:val="0"/>
              <w:spacing w:line="360" w:lineRule="auto"/>
              <w:ind w:firstLine="199" w:firstLineChars="95"/>
              <w:rPr>
                <w:rFonts w:ascii="宋体" w:hAnsi="宋体"/>
                <w:strike w:val="0"/>
                <w:dstrike w:val="0"/>
                <w:color w:val="auto"/>
                <w:kern w:val="2"/>
                <w:sz w:val="21"/>
                <w:szCs w:val="21"/>
                <w:highlight w:val="none"/>
              </w:rPr>
            </w:pPr>
            <w:r>
              <w:rPr>
                <w:rFonts w:ascii="宋体" w:hAnsi="宋体"/>
                <w:strike w:val="0"/>
                <w:dstrike w:val="0"/>
                <w:color w:val="auto"/>
                <w:kern w:val="2"/>
                <w:sz w:val="21"/>
                <w:szCs w:val="21"/>
                <w:highlight w:val="none"/>
              </w:rPr>
              <w:t>被评价单位主要负责人确认（签字）：</w:t>
            </w:r>
          </w:p>
          <w:p w14:paraId="5471878E">
            <w:pPr>
              <w:pStyle w:val="15"/>
              <w:keepLines w:val="0"/>
              <w:widowControl w:val="0"/>
              <w:wordWrap/>
              <w:overflowPunct/>
              <w:topLinePunct w:val="0"/>
              <w:bidi w:val="0"/>
              <w:adjustRightInd w:val="0"/>
              <w:snapToGrid w:val="0"/>
              <w:spacing w:line="360" w:lineRule="auto"/>
              <w:ind w:firstLine="0" w:firstLineChars="0"/>
              <w:jc w:val="center"/>
              <w:rPr>
                <w:rFonts w:ascii="宋体" w:hAnsi="宋体"/>
                <w:strike w:val="0"/>
                <w:dstrike w:val="0"/>
                <w:color w:val="auto"/>
                <w:kern w:val="2"/>
                <w:sz w:val="21"/>
                <w:szCs w:val="21"/>
                <w:highlight w:val="none"/>
              </w:rPr>
            </w:pPr>
          </w:p>
          <w:p w14:paraId="0893E50C">
            <w:pPr>
              <w:pStyle w:val="15"/>
              <w:keepLines w:val="0"/>
              <w:widowControl w:val="0"/>
              <w:wordWrap/>
              <w:overflowPunct/>
              <w:topLinePunct w:val="0"/>
              <w:bidi w:val="0"/>
              <w:adjustRightInd w:val="0"/>
              <w:snapToGrid w:val="0"/>
              <w:spacing w:line="360" w:lineRule="auto"/>
              <w:ind w:firstLine="0" w:firstLineChars="0"/>
              <w:jc w:val="center"/>
              <w:rPr>
                <w:rFonts w:ascii="宋体" w:hAnsi="宋体"/>
                <w:strike w:val="0"/>
                <w:dstrike w:val="0"/>
                <w:color w:val="auto"/>
                <w:kern w:val="2"/>
                <w:sz w:val="21"/>
                <w:szCs w:val="21"/>
                <w:highlight w:val="none"/>
              </w:rPr>
            </w:pPr>
          </w:p>
          <w:p w14:paraId="029CBFD4">
            <w:pPr>
              <w:pStyle w:val="15"/>
              <w:keepLines w:val="0"/>
              <w:widowControl w:val="0"/>
              <w:wordWrap/>
              <w:overflowPunct/>
              <w:topLinePunct w:val="0"/>
              <w:bidi w:val="0"/>
              <w:adjustRightInd w:val="0"/>
              <w:snapToGrid w:val="0"/>
              <w:spacing w:line="360" w:lineRule="auto"/>
              <w:ind w:firstLine="0" w:firstLineChars="0"/>
              <w:jc w:val="center"/>
              <w:rPr>
                <w:rFonts w:ascii="宋体" w:hAnsi="宋体"/>
                <w:strike w:val="0"/>
                <w:dstrike w:val="0"/>
                <w:color w:val="auto"/>
                <w:kern w:val="2"/>
                <w:sz w:val="21"/>
                <w:szCs w:val="21"/>
                <w:highlight w:val="none"/>
              </w:rPr>
            </w:pPr>
          </w:p>
          <w:p w14:paraId="5C57E8D7">
            <w:pPr>
              <w:pStyle w:val="15"/>
              <w:keepLines w:val="0"/>
              <w:widowControl w:val="0"/>
              <w:wordWrap/>
              <w:overflowPunct/>
              <w:topLinePunct w:val="0"/>
              <w:bidi w:val="0"/>
              <w:adjustRightInd w:val="0"/>
              <w:snapToGrid w:val="0"/>
              <w:spacing w:line="360" w:lineRule="auto"/>
              <w:ind w:firstLine="0" w:firstLineChars="0"/>
              <w:jc w:val="center"/>
              <w:rPr>
                <w:rFonts w:ascii="宋体" w:hAnsi="宋体"/>
                <w:strike w:val="0"/>
                <w:dstrike w:val="0"/>
                <w:color w:val="auto"/>
                <w:kern w:val="2"/>
                <w:sz w:val="21"/>
                <w:szCs w:val="21"/>
                <w:highlight w:val="none"/>
              </w:rPr>
            </w:pPr>
          </w:p>
          <w:p w14:paraId="4ABCFF29">
            <w:pPr>
              <w:pStyle w:val="15"/>
              <w:keepLines w:val="0"/>
              <w:widowControl w:val="0"/>
              <w:wordWrap/>
              <w:overflowPunct/>
              <w:topLinePunct w:val="0"/>
              <w:bidi w:val="0"/>
              <w:adjustRightInd w:val="0"/>
              <w:snapToGrid w:val="0"/>
              <w:spacing w:line="360" w:lineRule="auto"/>
              <w:ind w:firstLine="0" w:firstLineChars="0"/>
              <w:jc w:val="center"/>
              <w:rPr>
                <w:rFonts w:ascii="宋体" w:hAnsi="宋体"/>
                <w:strike w:val="0"/>
                <w:dstrike w:val="0"/>
                <w:color w:val="auto"/>
                <w:kern w:val="2"/>
                <w:sz w:val="21"/>
                <w:szCs w:val="21"/>
                <w:highlight w:val="none"/>
              </w:rPr>
            </w:pPr>
          </w:p>
          <w:p w14:paraId="53F555E2">
            <w:pPr>
              <w:pStyle w:val="15"/>
              <w:keepLines w:val="0"/>
              <w:widowControl w:val="0"/>
              <w:wordWrap/>
              <w:overflowPunct/>
              <w:topLinePunct w:val="0"/>
              <w:bidi w:val="0"/>
              <w:adjustRightInd w:val="0"/>
              <w:snapToGrid w:val="0"/>
              <w:spacing w:line="360" w:lineRule="auto"/>
              <w:ind w:firstLine="0" w:firstLineChars="0"/>
              <w:jc w:val="center"/>
              <w:rPr>
                <w:rFonts w:ascii="宋体" w:hAnsi="宋体"/>
                <w:strike w:val="0"/>
                <w:dstrike w:val="0"/>
                <w:color w:val="auto"/>
                <w:kern w:val="2"/>
                <w:sz w:val="21"/>
                <w:szCs w:val="21"/>
                <w:highlight w:val="none"/>
              </w:rPr>
            </w:pPr>
          </w:p>
          <w:p w14:paraId="2BDF9978">
            <w:pPr>
              <w:pStyle w:val="15"/>
              <w:keepLines w:val="0"/>
              <w:widowControl w:val="0"/>
              <w:wordWrap/>
              <w:overflowPunct/>
              <w:topLinePunct w:val="0"/>
              <w:bidi w:val="0"/>
              <w:adjustRightInd w:val="0"/>
              <w:snapToGrid w:val="0"/>
              <w:spacing w:line="360" w:lineRule="auto"/>
              <w:ind w:firstLine="0" w:firstLineChars="0"/>
              <w:jc w:val="center"/>
              <w:rPr>
                <w:rFonts w:ascii="宋体" w:hAnsi="宋体"/>
                <w:strike w:val="0"/>
                <w:dstrike w:val="0"/>
                <w:color w:val="auto"/>
                <w:kern w:val="2"/>
                <w:sz w:val="21"/>
                <w:szCs w:val="21"/>
                <w:highlight w:val="none"/>
              </w:rPr>
            </w:pPr>
          </w:p>
          <w:p w14:paraId="6D88BF88">
            <w:pPr>
              <w:pStyle w:val="15"/>
              <w:keepLines w:val="0"/>
              <w:widowControl w:val="0"/>
              <w:tabs>
                <w:tab w:val="left" w:pos="6690"/>
              </w:tabs>
              <w:wordWrap/>
              <w:overflowPunct/>
              <w:topLinePunct w:val="0"/>
              <w:bidi w:val="0"/>
              <w:adjustRightInd w:val="0"/>
              <w:snapToGrid w:val="0"/>
              <w:spacing w:line="360" w:lineRule="auto"/>
              <w:ind w:firstLine="0" w:firstLineChars="0"/>
              <w:jc w:val="center"/>
              <w:rPr>
                <w:rFonts w:ascii="宋体" w:hAnsi="宋体"/>
                <w:strike w:val="0"/>
                <w:dstrike w:val="0"/>
                <w:color w:val="auto"/>
                <w:kern w:val="2"/>
                <w:sz w:val="21"/>
                <w:szCs w:val="21"/>
                <w:highlight w:val="none"/>
              </w:rPr>
            </w:pPr>
            <w:r>
              <w:rPr>
                <w:rFonts w:hint="eastAsia" w:ascii="宋体" w:hAnsi="宋体"/>
                <w:strike w:val="0"/>
                <w:dstrike w:val="0"/>
                <w:color w:val="auto"/>
                <w:kern w:val="2"/>
                <w:sz w:val="21"/>
                <w:szCs w:val="21"/>
                <w:highlight w:val="none"/>
              </w:rPr>
              <w:t xml:space="preserve">                                                            </w:t>
            </w:r>
            <w:r>
              <w:rPr>
                <w:rFonts w:ascii="宋体" w:hAnsi="宋体"/>
                <w:strike w:val="0"/>
                <w:dstrike w:val="0"/>
                <w:color w:val="auto"/>
                <w:kern w:val="2"/>
                <w:sz w:val="21"/>
                <w:szCs w:val="21"/>
                <w:highlight w:val="none"/>
              </w:rPr>
              <w:t xml:space="preserve">年 </w:t>
            </w:r>
            <w:r>
              <w:rPr>
                <w:rFonts w:hint="eastAsia" w:ascii="宋体" w:hAnsi="宋体"/>
                <w:strike w:val="0"/>
                <w:dstrike w:val="0"/>
                <w:color w:val="auto"/>
                <w:kern w:val="2"/>
                <w:sz w:val="21"/>
                <w:szCs w:val="21"/>
                <w:highlight w:val="none"/>
              </w:rPr>
              <w:t xml:space="preserve">   </w:t>
            </w:r>
            <w:r>
              <w:rPr>
                <w:rFonts w:ascii="宋体" w:hAnsi="宋体"/>
                <w:strike w:val="0"/>
                <w:dstrike w:val="0"/>
                <w:color w:val="auto"/>
                <w:kern w:val="2"/>
                <w:sz w:val="21"/>
                <w:szCs w:val="21"/>
                <w:highlight w:val="none"/>
              </w:rPr>
              <w:t>月</w:t>
            </w:r>
            <w:r>
              <w:rPr>
                <w:rFonts w:hint="eastAsia" w:ascii="宋体" w:hAnsi="宋体"/>
                <w:strike w:val="0"/>
                <w:dstrike w:val="0"/>
                <w:color w:val="auto"/>
                <w:kern w:val="2"/>
                <w:sz w:val="21"/>
                <w:szCs w:val="21"/>
                <w:highlight w:val="none"/>
              </w:rPr>
              <w:t xml:space="preserve">    </w:t>
            </w:r>
            <w:r>
              <w:rPr>
                <w:rFonts w:ascii="宋体" w:hAnsi="宋体"/>
                <w:strike w:val="0"/>
                <w:dstrike w:val="0"/>
                <w:color w:val="auto"/>
                <w:kern w:val="2"/>
                <w:sz w:val="21"/>
                <w:szCs w:val="21"/>
                <w:highlight w:val="none"/>
              </w:rPr>
              <w:t xml:space="preserve">日 </w:t>
            </w:r>
          </w:p>
          <w:p w14:paraId="7972E210">
            <w:pPr>
              <w:pStyle w:val="15"/>
              <w:keepLines w:val="0"/>
              <w:widowControl w:val="0"/>
              <w:wordWrap/>
              <w:overflowPunct/>
              <w:topLinePunct w:val="0"/>
              <w:bidi w:val="0"/>
              <w:adjustRightInd w:val="0"/>
              <w:snapToGrid w:val="0"/>
              <w:spacing w:line="360" w:lineRule="auto"/>
              <w:ind w:firstLine="0" w:firstLineChars="0"/>
              <w:jc w:val="center"/>
              <w:rPr>
                <w:rFonts w:ascii="宋体" w:hAnsi="宋体"/>
                <w:strike w:val="0"/>
                <w:dstrike w:val="0"/>
                <w:color w:val="auto"/>
                <w:kern w:val="2"/>
                <w:sz w:val="21"/>
                <w:szCs w:val="21"/>
                <w:highlight w:val="none"/>
              </w:rPr>
            </w:pPr>
            <w:r>
              <w:rPr>
                <w:rFonts w:ascii="宋体" w:hAnsi="宋体"/>
                <w:strike w:val="0"/>
                <w:dstrike w:val="0"/>
                <w:color w:val="auto"/>
                <w:kern w:val="2"/>
                <w:sz w:val="21"/>
                <w:szCs w:val="21"/>
                <w:highlight w:val="none"/>
              </w:rPr>
              <w:t xml:space="preserve">                                      </w:t>
            </w:r>
            <w:r>
              <w:rPr>
                <w:rFonts w:hint="eastAsia" w:ascii="宋体" w:hAnsi="宋体"/>
                <w:strike w:val="0"/>
                <w:dstrike w:val="0"/>
                <w:color w:val="auto"/>
                <w:kern w:val="2"/>
                <w:sz w:val="21"/>
                <w:szCs w:val="21"/>
                <w:highlight w:val="none"/>
              </w:rPr>
              <w:t xml:space="preserve">                         </w:t>
            </w:r>
            <w:r>
              <w:rPr>
                <w:rFonts w:ascii="宋体" w:hAnsi="宋体"/>
                <w:strike w:val="0"/>
                <w:dstrike w:val="0"/>
                <w:color w:val="auto"/>
                <w:kern w:val="2"/>
                <w:sz w:val="21"/>
                <w:szCs w:val="21"/>
                <w:highlight w:val="none"/>
              </w:rPr>
              <w:t>（单位盖章）</w:t>
            </w:r>
          </w:p>
        </w:tc>
      </w:tr>
    </w:tbl>
    <w:p w14:paraId="3D094765">
      <w:pPr>
        <w:pStyle w:val="4"/>
        <w:keepLines w:val="0"/>
        <w:wordWrap/>
        <w:overflowPunct/>
        <w:topLinePunct w:val="0"/>
        <w:bidi w:val="0"/>
        <w:adjustRightInd w:val="0"/>
        <w:snapToGrid w:val="0"/>
        <w:spacing w:before="312" w:beforeLines="100" w:after="312" w:afterLines="100" w:line="360" w:lineRule="auto"/>
        <w:ind w:firstLine="0"/>
        <w:rPr>
          <w:rFonts w:hint="eastAsia"/>
          <w:strike w:val="0"/>
          <w:dstrike w:val="0"/>
          <w:color w:val="auto"/>
          <w:highlight w:val="none"/>
        </w:rPr>
      </w:pPr>
    </w:p>
    <w:p w14:paraId="79D0D4BF">
      <w:pPr>
        <w:pStyle w:val="4"/>
        <w:keepNext w:val="0"/>
        <w:keepLines w:val="0"/>
        <w:pageBreakBefore w:val="0"/>
        <w:widowControl w:val="0"/>
        <w:kinsoku/>
        <w:wordWrap/>
        <w:overflowPunct/>
        <w:topLinePunct w:val="0"/>
        <w:autoSpaceDE/>
        <w:autoSpaceDN/>
        <w:bidi w:val="0"/>
        <w:adjustRightInd w:val="0"/>
        <w:snapToGrid w:val="0"/>
        <w:spacing w:before="312" w:beforeLines="100" w:after="312" w:afterLines="100" w:line="500" w:lineRule="exact"/>
        <w:ind w:firstLine="0"/>
        <w:textAlignment w:val="auto"/>
        <w:rPr>
          <w:rFonts w:hint="eastAsia"/>
          <w:strike w:val="0"/>
          <w:dstrike w:val="0"/>
          <w:color w:val="auto"/>
          <w:highlight w:val="none"/>
        </w:rPr>
      </w:pPr>
      <w:bookmarkStart w:id="47" w:name="_Toc18997"/>
      <w:bookmarkStart w:id="48" w:name="_Toc29653"/>
      <w:bookmarkStart w:id="49" w:name="_Toc102634288"/>
      <w:bookmarkStart w:id="50" w:name="_Toc102634420"/>
      <w:bookmarkStart w:id="51" w:name="_Toc15033767"/>
      <w:bookmarkStart w:id="52" w:name="_Toc102633920"/>
      <w:bookmarkStart w:id="53" w:name="_Toc102633994"/>
    </w:p>
    <w:p w14:paraId="749E5846">
      <w:pPr>
        <w:pStyle w:val="4"/>
        <w:keepNext w:val="0"/>
        <w:keepLines w:val="0"/>
        <w:pageBreakBefore w:val="0"/>
        <w:widowControl w:val="0"/>
        <w:kinsoku/>
        <w:wordWrap/>
        <w:overflowPunct/>
        <w:topLinePunct w:val="0"/>
        <w:autoSpaceDE/>
        <w:autoSpaceDN/>
        <w:bidi w:val="0"/>
        <w:adjustRightInd w:val="0"/>
        <w:snapToGrid w:val="0"/>
        <w:spacing w:before="312" w:beforeLines="100" w:after="312" w:afterLines="100" w:line="500" w:lineRule="exact"/>
        <w:ind w:firstLine="0"/>
        <w:textAlignment w:val="auto"/>
        <w:rPr>
          <w:rFonts w:hint="eastAsia"/>
          <w:strike w:val="0"/>
          <w:dstrike w:val="0"/>
          <w:color w:val="auto"/>
          <w:highlight w:val="none"/>
        </w:rPr>
      </w:pPr>
      <w:r>
        <w:rPr>
          <w:rFonts w:hint="eastAsia"/>
          <w:strike w:val="0"/>
          <w:dstrike w:val="0"/>
          <w:color w:val="auto"/>
          <w:highlight w:val="none"/>
        </w:rPr>
        <w:t>第二节 评价结论</w:t>
      </w:r>
      <w:bookmarkEnd w:id="47"/>
      <w:bookmarkEnd w:id="48"/>
      <w:bookmarkEnd w:id="49"/>
      <w:bookmarkEnd w:id="50"/>
      <w:bookmarkEnd w:id="51"/>
      <w:bookmarkEnd w:id="52"/>
      <w:bookmarkEnd w:id="53"/>
    </w:p>
    <w:p w14:paraId="27980759">
      <w:pPr>
        <w:pStyle w:val="15"/>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trike w:val="0"/>
          <w:dstrike w:val="0"/>
          <w:color w:val="auto"/>
          <w:highlight w:val="none"/>
        </w:rPr>
      </w:pPr>
      <w:r>
        <w:rPr>
          <w:rFonts w:ascii="宋体"/>
          <w:strike w:val="0"/>
          <w:dstrike w:val="0"/>
          <w:color w:val="auto"/>
          <w:highlight w:val="none"/>
        </w:rPr>
        <w:t>通过对</w:t>
      </w:r>
      <w:r>
        <w:rPr>
          <w:rFonts w:hint="eastAsia" w:ascii="宋体"/>
          <w:strike w:val="0"/>
          <w:dstrike w:val="0"/>
          <w:color w:val="auto"/>
          <w:highlight w:val="none"/>
        </w:rPr>
        <w:t>中国石化山东泰山石油股份有限公司</w:t>
      </w:r>
      <w:r>
        <w:rPr>
          <w:rFonts w:hint="eastAsia" w:ascii="宋体"/>
          <w:strike w:val="0"/>
          <w:dstrike w:val="0"/>
          <w:color w:val="auto"/>
          <w:highlight w:val="none"/>
          <w:lang w:eastAsia="zh-CN"/>
        </w:rPr>
        <w:t>肥城第二十四加油站</w:t>
      </w:r>
      <w:r>
        <w:rPr>
          <w:rFonts w:ascii="宋体"/>
          <w:strike w:val="0"/>
          <w:dstrike w:val="0"/>
          <w:color w:val="auto"/>
          <w:highlight w:val="none"/>
        </w:rPr>
        <w:t>的经营情况的安全现状评价，评价组认为：</w:t>
      </w:r>
    </w:p>
    <w:p w14:paraId="27493767">
      <w:pPr>
        <w:pStyle w:val="15"/>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trike w:val="0"/>
          <w:dstrike w:val="0"/>
          <w:color w:val="auto"/>
          <w:highlight w:val="none"/>
        </w:rPr>
      </w:pPr>
      <w:r>
        <w:rPr>
          <w:rFonts w:hint="eastAsia" w:ascii="宋体"/>
          <w:strike w:val="0"/>
          <w:dstrike w:val="0"/>
          <w:color w:val="auto"/>
          <w:highlight w:val="none"/>
        </w:rPr>
        <w:t>中国石化山东泰山石油股份有限公司</w:t>
      </w:r>
      <w:r>
        <w:rPr>
          <w:rFonts w:hint="eastAsia" w:ascii="宋体"/>
          <w:strike w:val="0"/>
          <w:dstrike w:val="0"/>
          <w:color w:val="auto"/>
          <w:highlight w:val="none"/>
          <w:lang w:eastAsia="zh-CN"/>
        </w:rPr>
        <w:t>肥城第二十四加油站</w:t>
      </w:r>
      <w:r>
        <w:rPr>
          <w:rFonts w:ascii="宋体"/>
          <w:strike w:val="0"/>
          <w:dstrike w:val="0"/>
          <w:color w:val="auto"/>
          <w:highlight w:val="none"/>
        </w:rPr>
        <w:t>周边环境良好、总平面布置符合《汽车加油加气加氢站技术标准》、《建筑设计防火规范》等相关国家标准、行业标准的规定。</w:t>
      </w:r>
    </w:p>
    <w:p w14:paraId="3DE1DC70">
      <w:pPr>
        <w:pStyle w:val="15"/>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trike w:val="0"/>
          <w:dstrike w:val="0"/>
          <w:color w:val="auto"/>
          <w:highlight w:val="none"/>
        </w:rPr>
      </w:pPr>
      <w:r>
        <w:rPr>
          <w:rFonts w:ascii="宋体"/>
          <w:strike w:val="0"/>
          <w:dstrike w:val="0"/>
          <w:color w:val="auto"/>
          <w:highlight w:val="none"/>
        </w:rPr>
        <w:t>该站建立健全了安全生产责任制、安全生产规章制度和安全操作规程；编制了生产安全事故应急预案并备案，配备了必要的应急救援器材、设备。</w:t>
      </w:r>
    </w:p>
    <w:p w14:paraId="60894FFC">
      <w:pPr>
        <w:pStyle w:val="15"/>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trike w:val="0"/>
          <w:dstrike w:val="0"/>
          <w:color w:val="auto"/>
          <w:highlight w:val="none"/>
        </w:rPr>
      </w:pPr>
      <w:r>
        <w:rPr>
          <w:rFonts w:ascii="宋体"/>
          <w:strike w:val="0"/>
          <w:dstrike w:val="0"/>
          <w:color w:val="auto"/>
          <w:highlight w:val="none"/>
        </w:rPr>
        <w:t>该加油站危险化学品</w:t>
      </w:r>
      <w:r>
        <w:rPr>
          <w:rFonts w:hint="eastAsia" w:ascii="宋体"/>
          <w:strike w:val="0"/>
          <w:dstrike w:val="0"/>
          <w:color w:val="auto"/>
          <w:highlight w:val="none"/>
        </w:rPr>
        <w:t>的储存条件</w:t>
      </w:r>
      <w:r>
        <w:rPr>
          <w:rFonts w:ascii="宋体"/>
          <w:strike w:val="0"/>
          <w:dstrike w:val="0"/>
          <w:color w:val="auto"/>
          <w:highlight w:val="none"/>
        </w:rPr>
        <w:t>满足</w:t>
      </w:r>
      <w:r>
        <w:rPr>
          <w:rFonts w:hint="eastAsia" w:ascii="宋体"/>
          <w:strike w:val="0"/>
          <w:dstrike w:val="0"/>
          <w:color w:val="auto"/>
          <w:highlight w:val="none"/>
        </w:rPr>
        <w:t>现行法规和标准规范的要求</w:t>
      </w:r>
      <w:r>
        <w:rPr>
          <w:rFonts w:ascii="宋体"/>
          <w:strike w:val="0"/>
          <w:dstrike w:val="0"/>
          <w:color w:val="auto"/>
          <w:highlight w:val="none"/>
        </w:rPr>
        <w:t>。</w:t>
      </w:r>
    </w:p>
    <w:p w14:paraId="6B968E14">
      <w:pPr>
        <w:pStyle w:val="15"/>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trike w:val="0"/>
          <w:dstrike w:val="0"/>
          <w:color w:val="auto"/>
          <w:highlight w:val="none"/>
        </w:rPr>
      </w:pPr>
      <w:r>
        <w:rPr>
          <w:rFonts w:ascii="宋体"/>
          <w:strike w:val="0"/>
          <w:dstrike w:val="0"/>
          <w:color w:val="auto"/>
          <w:highlight w:val="none"/>
        </w:rPr>
        <w:t>针对危险化学品经营中存在的各类危险有害因素，</w:t>
      </w:r>
      <w:r>
        <w:rPr>
          <w:rFonts w:hint="eastAsia" w:ascii="宋体"/>
          <w:strike w:val="0"/>
          <w:dstrike w:val="0"/>
          <w:color w:val="auto"/>
          <w:highlight w:val="none"/>
        </w:rPr>
        <w:t>该站</w:t>
      </w:r>
      <w:r>
        <w:rPr>
          <w:rFonts w:ascii="宋体"/>
          <w:strike w:val="0"/>
          <w:dstrike w:val="0"/>
          <w:color w:val="auto"/>
          <w:highlight w:val="none"/>
        </w:rPr>
        <w:t>已采取了相应的安全技术控制措施和安全管理措施。</w:t>
      </w:r>
    </w:p>
    <w:p w14:paraId="5B70AA02">
      <w:pPr>
        <w:pStyle w:val="15"/>
        <w:keepNext w:val="0"/>
        <w:keepLines w:val="0"/>
        <w:widowControl w:val="0"/>
        <w:kinsoku/>
        <w:wordWrap/>
        <w:overflowPunct/>
        <w:topLinePunct w:val="0"/>
        <w:autoSpaceDE/>
        <w:autoSpaceDN/>
        <w:bidi w:val="0"/>
        <w:adjustRightInd w:val="0"/>
        <w:snapToGrid w:val="0"/>
        <w:spacing w:line="500" w:lineRule="exact"/>
        <w:ind w:firstLine="562"/>
        <w:textAlignment w:val="auto"/>
        <w:rPr>
          <w:b/>
          <w:bCs/>
          <w:strike w:val="0"/>
          <w:dstrike w:val="0"/>
          <w:color w:val="auto"/>
          <w:highlight w:val="none"/>
        </w:rPr>
      </w:pPr>
      <w:r>
        <w:rPr>
          <w:b/>
          <w:bCs/>
          <w:strike w:val="0"/>
          <w:dstrike w:val="0"/>
          <w:color w:val="auto"/>
          <w:highlight w:val="none"/>
        </w:rPr>
        <w:t>综上所述，</w:t>
      </w:r>
      <w:r>
        <w:rPr>
          <w:rFonts w:hint="eastAsia"/>
          <w:b/>
          <w:strike w:val="0"/>
          <w:dstrike w:val="0"/>
          <w:color w:val="auto"/>
          <w:highlight w:val="none"/>
        </w:rPr>
        <w:t>中国石化山东泰山石油股份</w:t>
      </w:r>
      <w:r>
        <w:rPr>
          <w:rFonts w:hint="eastAsia"/>
          <w:b/>
          <w:bCs/>
          <w:strike w:val="0"/>
          <w:dstrike w:val="0"/>
          <w:color w:val="auto"/>
          <w:highlight w:val="none"/>
        </w:rPr>
        <w:t>有限公司</w:t>
      </w:r>
      <w:r>
        <w:rPr>
          <w:rFonts w:hint="eastAsia"/>
          <w:b/>
          <w:strike w:val="0"/>
          <w:dstrike w:val="0"/>
          <w:color w:val="auto"/>
          <w:highlight w:val="none"/>
          <w:lang w:eastAsia="zh-CN"/>
        </w:rPr>
        <w:t>肥城第二十四加油站</w:t>
      </w:r>
      <w:r>
        <w:rPr>
          <w:b/>
          <w:bCs/>
          <w:strike w:val="0"/>
          <w:dstrike w:val="0"/>
          <w:color w:val="auto"/>
          <w:highlight w:val="none"/>
        </w:rPr>
        <w:t>危险化学品经营符合国家有关安全生产的法律法规、技术标准要求，具备经营</w:t>
      </w:r>
      <w:r>
        <w:rPr>
          <w:rFonts w:hint="eastAsia"/>
          <w:b/>
          <w:bCs/>
          <w:strike w:val="0"/>
          <w:dstrike w:val="0"/>
          <w:color w:val="auto"/>
          <w:highlight w:val="none"/>
          <w:lang w:eastAsia="zh-CN"/>
        </w:rPr>
        <w:t>汽油、乙醇汽油</w:t>
      </w:r>
      <w:r>
        <w:rPr>
          <w:rFonts w:hint="eastAsia" w:ascii="Times New Roman" w:hAnsi="Times New Roman" w:eastAsia="宋体" w:cs="Times New Roman"/>
          <w:b/>
          <w:bCs/>
          <w:strike w:val="0"/>
          <w:dstrike w:val="0"/>
          <w:color w:val="auto"/>
          <w:highlight w:val="none"/>
          <w:lang w:eastAsia="zh-CN"/>
        </w:rPr>
        <w:t>、</w:t>
      </w:r>
      <w:r>
        <w:rPr>
          <w:rFonts w:hint="eastAsia" w:ascii="Times New Roman" w:hAnsi="Times New Roman" w:eastAsia="宋体" w:cs="Times New Roman"/>
          <w:b/>
          <w:bCs/>
          <w:strike w:val="0"/>
          <w:dstrike w:val="0"/>
          <w:color w:val="auto"/>
          <w:highlight w:val="none"/>
          <w:lang w:val="en-US" w:eastAsia="zh-CN"/>
        </w:rPr>
        <w:t>柴油的</w:t>
      </w:r>
      <w:r>
        <w:rPr>
          <w:b/>
          <w:bCs/>
          <w:strike w:val="0"/>
          <w:dstrike w:val="0"/>
          <w:color w:val="auto"/>
          <w:highlight w:val="none"/>
        </w:rPr>
        <w:t>安全条件。</w:t>
      </w:r>
      <w:bookmarkStart w:id="54" w:name="_Toc102633995"/>
      <w:bookmarkStart w:id="55" w:name="_Toc102633921"/>
      <w:bookmarkStart w:id="56" w:name="_Toc10432"/>
      <w:bookmarkStart w:id="57" w:name="_Toc102634289"/>
      <w:bookmarkStart w:id="58" w:name="_Toc102634421"/>
      <w:bookmarkStart w:id="59" w:name="_Toc76827614"/>
      <w:bookmarkStart w:id="60" w:name="_Toc87375115"/>
      <w:bookmarkStart w:id="61" w:name="_Toc16834"/>
    </w:p>
    <w:p w14:paraId="7E360C8E">
      <w:pPr>
        <w:pStyle w:val="16"/>
        <w:keepNext w:val="0"/>
        <w:keepLines w:val="0"/>
        <w:pageBreakBefore/>
        <w:widowControl/>
        <w:kinsoku/>
        <w:wordWrap/>
        <w:overflowPunct/>
        <w:topLinePunct w:val="0"/>
        <w:autoSpaceDE/>
        <w:autoSpaceDN/>
        <w:bidi w:val="0"/>
        <w:adjustRightInd w:val="0"/>
        <w:snapToGrid w:val="0"/>
        <w:spacing w:before="312" w:after="312" w:line="360" w:lineRule="auto"/>
        <w:textAlignment w:val="auto"/>
        <w:rPr>
          <w:rFonts w:hint="eastAsia"/>
          <w:strike w:val="0"/>
          <w:dstrike w:val="0"/>
          <w:color w:val="auto"/>
          <w:highlight w:val="none"/>
        </w:rPr>
      </w:pPr>
      <w:bookmarkStart w:id="62" w:name="_Toc12256"/>
      <w:r>
        <w:rPr>
          <w:rFonts w:hint="eastAsia"/>
          <w:strike w:val="0"/>
          <w:dstrike w:val="0"/>
          <w:color w:val="auto"/>
          <w:highlight w:val="none"/>
        </w:rPr>
        <w:t>第八章  与被评价单位交换意见的结果</w:t>
      </w:r>
      <w:bookmarkEnd w:id="54"/>
      <w:bookmarkEnd w:id="55"/>
      <w:bookmarkEnd w:id="56"/>
      <w:bookmarkEnd w:id="57"/>
      <w:bookmarkEnd w:id="58"/>
      <w:bookmarkEnd w:id="59"/>
      <w:bookmarkEnd w:id="60"/>
      <w:bookmarkEnd w:id="61"/>
      <w:bookmarkEnd w:id="62"/>
    </w:p>
    <w:p w14:paraId="60BA44AD">
      <w:pPr>
        <w:pStyle w:val="15"/>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宋体"/>
          <w:strike w:val="0"/>
          <w:dstrike w:val="0"/>
          <w:color w:val="auto"/>
          <w:highlight w:val="none"/>
        </w:rPr>
      </w:pPr>
      <w:r>
        <w:rPr>
          <w:rFonts w:ascii="宋体"/>
          <w:strike w:val="0"/>
          <w:dstrike w:val="0"/>
          <w:color w:val="auto"/>
          <w:highlight w:val="none"/>
        </w:rPr>
        <w:t>我公司受</w:t>
      </w:r>
      <w:r>
        <w:rPr>
          <w:rFonts w:hint="eastAsia" w:ascii="宋体"/>
          <w:strike w:val="0"/>
          <w:dstrike w:val="0"/>
          <w:color w:val="auto"/>
          <w:highlight w:val="none"/>
        </w:rPr>
        <w:t>中国石化山东泰山石油股份有限公司</w:t>
      </w:r>
      <w:r>
        <w:rPr>
          <w:rFonts w:ascii="宋体"/>
          <w:strike w:val="0"/>
          <w:dstrike w:val="0"/>
          <w:color w:val="auto"/>
          <w:highlight w:val="none"/>
        </w:rPr>
        <w:t>委托，对</w:t>
      </w:r>
      <w:r>
        <w:rPr>
          <w:rFonts w:hint="eastAsia" w:ascii="宋体"/>
          <w:strike w:val="0"/>
          <w:dstrike w:val="0"/>
          <w:color w:val="auto"/>
          <w:highlight w:val="none"/>
        </w:rPr>
        <w:t>中国石化山东泰山石油股份有限公司</w:t>
      </w:r>
      <w:r>
        <w:rPr>
          <w:rFonts w:hint="eastAsia" w:ascii="宋体"/>
          <w:strike w:val="0"/>
          <w:dstrike w:val="0"/>
          <w:color w:val="auto"/>
          <w:highlight w:val="none"/>
          <w:lang w:eastAsia="zh-CN"/>
        </w:rPr>
        <w:t>肥城第二十四加油站</w:t>
      </w:r>
      <w:r>
        <w:rPr>
          <w:rFonts w:ascii="宋体"/>
          <w:strike w:val="0"/>
          <w:dstrike w:val="0"/>
          <w:color w:val="auto"/>
          <w:highlight w:val="none"/>
        </w:rPr>
        <w:t>进行安全现状评价</w:t>
      </w:r>
      <w:r>
        <w:rPr>
          <w:rFonts w:hint="eastAsia" w:ascii="宋体"/>
          <w:strike w:val="0"/>
          <w:dstrike w:val="0"/>
          <w:color w:val="auto"/>
          <w:highlight w:val="none"/>
        </w:rPr>
        <w:t>。</w:t>
      </w:r>
      <w:r>
        <w:rPr>
          <w:rFonts w:ascii="宋体"/>
          <w:strike w:val="0"/>
          <w:dstrike w:val="0"/>
          <w:color w:val="auto"/>
          <w:highlight w:val="none"/>
        </w:rPr>
        <w:t>接受委托后，我公司有关人员与委托方进行了交流，并进行了现场勘查，收集了各种证照、检验检测报告和技术资料，在此基础上开展该加油站的安全评价工作。</w:t>
      </w:r>
    </w:p>
    <w:p w14:paraId="59265519">
      <w:pPr>
        <w:pStyle w:val="15"/>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宋体"/>
          <w:strike w:val="0"/>
          <w:dstrike w:val="0"/>
          <w:color w:val="auto"/>
          <w:highlight w:val="none"/>
        </w:rPr>
      </w:pPr>
      <w:r>
        <w:rPr>
          <w:rFonts w:ascii="宋体"/>
          <w:strike w:val="0"/>
          <w:dstrike w:val="0"/>
          <w:color w:val="auto"/>
          <w:highlight w:val="none"/>
        </w:rPr>
        <w:t>在评价进行过程中，评价组就加油站存在的问题与建设单位多次交流，提出了相应的建议。</w:t>
      </w:r>
      <w:r>
        <w:rPr>
          <w:rFonts w:hint="eastAsia" w:ascii="宋体"/>
          <w:strike w:val="0"/>
          <w:dstrike w:val="0"/>
          <w:color w:val="auto"/>
          <w:highlight w:val="none"/>
        </w:rPr>
        <w:t>中国石化山东泰山石油股份有限公司</w:t>
      </w:r>
      <w:r>
        <w:rPr>
          <w:rFonts w:hint="eastAsia" w:ascii="宋体"/>
          <w:strike w:val="0"/>
          <w:dstrike w:val="0"/>
          <w:color w:val="auto"/>
          <w:highlight w:val="none"/>
          <w:lang w:eastAsia="zh-CN"/>
        </w:rPr>
        <w:t>肥城第二十四加油站</w:t>
      </w:r>
      <w:r>
        <w:rPr>
          <w:rFonts w:ascii="宋体"/>
          <w:strike w:val="0"/>
          <w:dstrike w:val="0"/>
          <w:color w:val="auto"/>
          <w:highlight w:val="none"/>
        </w:rPr>
        <w:t>对评价组提出的建议予以认可</w:t>
      </w:r>
      <w:r>
        <w:rPr>
          <w:rFonts w:hint="eastAsia" w:ascii="宋体"/>
          <w:strike w:val="0"/>
          <w:dstrike w:val="0"/>
          <w:color w:val="auto"/>
          <w:highlight w:val="none"/>
        </w:rPr>
        <w:t>，</w:t>
      </w:r>
      <w:r>
        <w:rPr>
          <w:rFonts w:ascii="宋体"/>
          <w:strike w:val="0"/>
          <w:dstrike w:val="0"/>
          <w:color w:val="auto"/>
          <w:highlight w:val="none"/>
        </w:rPr>
        <w:t>企业对提供资料的真实性进行负责。</w:t>
      </w:r>
    </w:p>
    <w:p w14:paraId="7BD7F27D">
      <w:pPr>
        <w:pStyle w:val="15"/>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宋体"/>
          <w:strike w:val="0"/>
          <w:dstrike w:val="0"/>
          <w:color w:val="auto"/>
          <w:highlight w:val="none"/>
        </w:rPr>
      </w:pPr>
      <w:r>
        <w:rPr>
          <w:rFonts w:ascii="宋体"/>
          <w:strike w:val="0"/>
          <w:dstrike w:val="0"/>
          <w:color w:val="auto"/>
          <w:highlight w:val="none"/>
        </w:rPr>
        <w:t>评价组在对建设单位补充的文件资料进行确认后，于202</w:t>
      </w:r>
      <w:r>
        <w:rPr>
          <w:rFonts w:hint="eastAsia" w:ascii="宋体"/>
          <w:strike w:val="0"/>
          <w:dstrike w:val="0"/>
          <w:color w:val="auto"/>
          <w:highlight w:val="none"/>
        </w:rPr>
        <w:t>4</w:t>
      </w:r>
      <w:r>
        <w:rPr>
          <w:rFonts w:ascii="宋体"/>
          <w:strike w:val="0"/>
          <w:dstrike w:val="0"/>
          <w:color w:val="auto"/>
          <w:highlight w:val="none"/>
        </w:rPr>
        <w:t>年</w:t>
      </w:r>
      <w:r>
        <w:rPr>
          <w:rFonts w:hint="eastAsia" w:ascii="宋体"/>
          <w:strike w:val="0"/>
          <w:dstrike w:val="0"/>
          <w:color w:val="auto"/>
          <w:highlight w:val="none"/>
          <w:lang w:val="en-US" w:eastAsia="zh-CN"/>
        </w:rPr>
        <w:t>12</w:t>
      </w:r>
      <w:r>
        <w:rPr>
          <w:rFonts w:ascii="宋体"/>
          <w:strike w:val="0"/>
          <w:dstrike w:val="0"/>
          <w:color w:val="auto"/>
          <w:highlight w:val="none"/>
        </w:rPr>
        <w:t>月编制完成本安全评价报告。</w:t>
      </w:r>
    </w:p>
    <w:p w14:paraId="3B266416">
      <w:pPr>
        <w:pStyle w:val="15"/>
        <w:keepLines w:val="0"/>
        <w:widowControl w:val="0"/>
        <w:wordWrap/>
        <w:overflowPunct/>
        <w:topLinePunct w:val="0"/>
        <w:bidi w:val="0"/>
        <w:adjustRightInd w:val="0"/>
        <w:snapToGrid w:val="0"/>
        <w:spacing w:line="360" w:lineRule="auto"/>
        <w:ind w:firstLine="562"/>
        <w:rPr>
          <w:b/>
          <w:bCs/>
          <w:strike w:val="0"/>
          <w:dstrike w:val="0"/>
          <w:color w:val="auto"/>
          <w:highlight w:val="none"/>
        </w:rPr>
      </w:pPr>
    </w:p>
    <w:p w14:paraId="3308B29D">
      <w:pPr>
        <w:pStyle w:val="15"/>
        <w:keepLines w:val="0"/>
        <w:widowControl w:val="0"/>
        <w:wordWrap/>
        <w:overflowPunct/>
        <w:topLinePunct w:val="0"/>
        <w:bidi w:val="0"/>
        <w:adjustRightInd w:val="0"/>
        <w:snapToGrid w:val="0"/>
        <w:spacing w:line="360" w:lineRule="auto"/>
        <w:ind w:firstLine="562"/>
        <w:rPr>
          <w:b/>
          <w:bCs/>
          <w:strike w:val="0"/>
          <w:dstrike w:val="0"/>
          <w:color w:val="auto"/>
          <w:highlight w:val="none"/>
        </w:rPr>
      </w:pPr>
    </w:p>
    <w:p w14:paraId="16A43435">
      <w:pPr>
        <w:pStyle w:val="15"/>
        <w:keepLines w:val="0"/>
        <w:widowControl w:val="0"/>
        <w:wordWrap/>
        <w:overflowPunct/>
        <w:topLinePunct w:val="0"/>
        <w:bidi w:val="0"/>
        <w:adjustRightInd w:val="0"/>
        <w:snapToGrid w:val="0"/>
        <w:spacing w:line="360" w:lineRule="auto"/>
        <w:ind w:firstLine="562"/>
        <w:rPr>
          <w:b/>
          <w:bCs/>
          <w:strike w:val="0"/>
          <w:dstrike w:val="0"/>
          <w:color w:val="auto"/>
          <w:highlight w:val="none"/>
        </w:rPr>
      </w:pPr>
    </w:p>
    <w:p w14:paraId="237BF5DF">
      <w:pPr>
        <w:pStyle w:val="15"/>
        <w:keepLines w:val="0"/>
        <w:widowControl w:val="0"/>
        <w:wordWrap/>
        <w:overflowPunct/>
        <w:topLinePunct w:val="0"/>
        <w:bidi w:val="0"/>
        <w:adjustRightInd w:val="0"/>
        <w:snapToGrid w:val="0"/>
        <w:spacing w:line="360" w:lineRule="auto"/>
        <w:ind w:firstLine="562"/>
        <w:rPr>
          <w:b/>
          <w:bCs/>
          <w:strike w:val="0"/>
          <w:dstrike w:val="0"/>
          <w:color w:val="auto"/>
          <w:highlight w:val="none"/>
        </w:rPr>
      </w:pPr>
    </w:p>
    <w:p w14:paraId="0467D625">
      <w:pPr>
        <w:pStyle w:val="15"/>
        <w:keepLines w:val="0"/>
        <w:widowControl w:val="0"/>
        <w:wordWrap/>
        <w:overflowPunct/>
        <w:topLinePunct w:val="0"/>
        <w:bidi w:val="0"/>
        <w:adjustRightInd w:val="0"/>
        <w:snapToGrid w:val="0"/>
        <w:spacing w:line="360" w:lineRule="auto"/>
        <w:ind w:firstLine="562"/>
        <w:rPr>
          <w:b/>
          <w:bCs/>
          <w:strike w:val="0"/>
          <w:dstrike w:val="0"/>
          <w:color w:val="auto"/>
          <w:highlight w:val="none"/>
        </w:rPr>
      </w:pPr>
    </w:p>
    <w:p w14:paraId="27755B51">
      <w:pPr>
        <w:pStyle w:val="15"/>
        <w:keepLines w:val="0"/>
        <w:widowControl w:val="0"/>
        <w:wordWrap/>
        <w:overflowPunct/>
        <w:topLinePunct w:val="0"/>
        <w:bidi w:val="0"/>
        <w:adjustRightInd w:val="0"/>
        <w:snapToGrid w:val="0"/>
        <w:spacing w:line="360" w:lineRule="auto"/>
        <w:ind w:firstLine="562"/>
        <w:rPr>
          <w:b/>
          <w:bCs/>
          <w:strike w:val="0"/>
          <w:dstrike w:val="0"/>
          <w:color w:val="auto"/>
          <w:highlight w:val="none"/>
        </w:rPr>
      </w:pPr>
    </w:p>
    <w:p w14:paraId="169819B5">
      <w:pPr>
        <w:pStyle w:val="15"/>
        <w:keepLines w:val="0"/>
        <w:widowControl w:val="0"/>
        <w:wordWrap/>
        <w:overflowPunct/>
        <w:topLinePunct w:val="0"/>
        <w:bidi w:val="0"/>
        <w:adjustRightInd w:val="0"/>
        <w:snapToGrid w:val="0"/>
        <w:spacing w:line="360" w:lineRule="auto"/>
        <w:ind w:firstLine="562"/>
        <w:rPr>
          <w:b/>
          <w:bCs/>
          <w:strike w:val="0"/>
          <w:dstrike w:val="0"/>
          <w:color w:val="auto"/>
          <w:highlight w:val="none"/>
        </w:rPr>
      </w:pPr>
    </w:p>
    <w:p w14:paraId="4F617B0F">
      <w:pPr>
        <w:pStyle w:val="15"/>
        <w:keepLines w:val="0"/>
        <w:widowControl w:val="0"/>
        <w:wordWrap/>
        <w:overflowPunct/>
        <w:topLinePunct w:val="0"/>
        <w:bidi w:val="0"/>
        <w:adjustRightInd w:val="0"/>
        <w:snapToGrid w:val="0"/>
        <w:spacing w:line="360" w:lineRule="auto"/>
        <w:ind w:firstLine="562"/>
        <w:rPr>
          <w:b/>
          <w:bCs/>
          <w:strike w:val="0"/>
          <w:dstrike w:val="0"/>
          <w:color w:val="auto"/>
          <w:highlight w:val="none"/>
        </w:rPr>
      </w:pPr>
    </w:p>
    <w:p w14:paraId="03E28AD6">
      <w:pPr>
        <w:pStyle w:val="15"/>
        <w:keepLines w:val="0"/>
        <w:widowControl w:val="0"/>
        <w:wordWrap/>
        <w:overflowPunct/>
        <w:topLinePunct w:val="0"/>
        <w:bidi w:val="0"/>
        <w:adjustRightInd w:val="0"/>
        <w:snapToGrid w:val="0"/>
        <w:spacing w:line="360" w:lineRule="auto"/>
        <w:ind w:firstLine="562"/>
        <w:rPr>
          <w:b/>
          <w:bCs/>
          <w:strike w:val="0"/>
          <w:dstrike w:val="0"/>
          <w:color w:val="auto"/>
          <w:highlight w:val="none"/>
        </w:rPr>
      </w:pPr>
    </w:p>
    <w:p w14:paraId="3F8440E6">
      <w:pPr>
        <w:pStyle w:val="15"/>
        <w:keepLines w:val="0"/>
        <w:widowControl w:val="0"/>
        <w:wordWrap/>
        <w:overflowPunct/>
        <w:topLinePunct w:val="0"/>
        <w:bidi w:val="0"/>
        <w:adjustRightInd w:val="0"/>
        <w:snapToGrid w:val="0"/>
        <w:spacing w:line="360" w:lineRule="auto"/>
        <w:ind w:firstLine="560"/>
        <w:rPr>
          <w:bCs/>
          <w:strike w:val="0"/>
          <w:dstrike w:val="0"/>
          <w:color w:val="auto"/>
          <w:highlight w:val="none"/>
        </w:rPr>
      </w:pPr>
      <w:r>
        <w:rPr>
          <w:rFonts w:hint="eastAsia"/>
          <w:bCs/>
          <w:strike w:val="0"/>
          <w:dstrike w:val="0"/>
          <w:color w:val="auto"/>
          <w:highlight w:val="none"/>
        </w:rPr>
        <w:t>评价单位公章                              被评价单位公章</w:t>
      </w:r>
    </w:p>
    <w:p w14:paraId="08F147F7">
      <w:pPr>
        <w:pStyle w:val="15"/>
        <w:keepLines w:val="0"/>
        <w:widowControl w:val="0"/>
        <w:wordWrap/>
        <w:overflowPunct/>
        <w:topLinePunct w:val="0"/>
        <w:bidi w:val="0"/>
        <w:adjustRightInd w:val="0"/>
        <w:snapToGrid w:val="0"/>
        <w:spacing w:line="360" w:lineRule="auto"/>
        <w:ind w:firstLine="562"/>
        <w:rPr>
          <w:b/>
          <w:bCs/>
          <w:strike w:val="0"/>
          <w:dstrike w:val="0"/>
          <w:color w:val="auto"/>
          <w:highlight w:val="none"/>
        </w:rPr>
      </w:pPr>
    </w:p>
    <w:p w14:paraId="27298D75">
      <w:pPr>
        <w:pStyle w:val="20"/>
        <w:keepLines w:val="0"/>
        <w:widowControl w:val="0"/>
        <w:kinsoku w:val="0"/>
        <w:wordWrap/>
        <w:overflowPunct/>
        <w:topLinePunct w:val="0"/>
        <w:bidi w:val="0"/>
        <w:adjustRightInd w:val="0"/>
        <w:snapToGrid w:val="0"/>
        <w:spacing w:line="360" w:lineRule="auto"/>
        <w:ind w:firstLine="560"/>
        <w:jc w:val="both"/>
        <w:outlineLvl w:val="9"/>
        <w:rPr>
          <w:rFonts w:ascii="宋体"/>
          <w:strike w:val="0"/>
          <w:dstrike w:val="0"/>
          <w:color w:val="auto"/>
          <w:highlight w:val="none"/>
        </w:rPr>
      </w:pPr>
    </w:p>
    <w:p w14:paraId="7D2190D4">
      <w:pPr>
        <w:rPr>
          <w:rFonts w:hint="default" w:ascii="宋体"/>
          <w:color w:val="auto"/>
          <w:kern w:val="0"/>
          <w:sz w:val="28"/>
          <w:szCs w:val="20"/>
          <w:lang w:val="en-US" w:eastAsia="zh-CN"/>
        </w:rPr>
      </w:pPr>
    </w:p>
    <w:p w14:paraId="29A5EEA8">
      <w:pPr>
        <w:jc w:val="center"/>
        <w:rPr>
          <w:rFonts w:hint="default"/>
          <w:sz w:val="28"/>
          <w:szCs w:val="28"/>
          <w:lang w:val="en-US" w:eastAsia="zh-CN"/>
        </w:rPr>
      </w:pPr>
      <w:r>
        <w:rPr>
          <w:rFonts w:hint="eastAsia"/>
          <w:sz w:val="28"/>
          <w:szCs w:val="28"/>
          <w:lang w:val="en-US" w:eastAsia="zh-CN"/>
        </w:rPr>
        <w:drawing>
          <wp:inline distT="0" distB="0" distL="114300" distR="114300">
            <wp:extent cx="5744845" cy="4308475"/>
            <wp:effectExtent l="0" t="0" r="8255" b="15875"/>
            <wp:docPr id="3" name="图片 3" descr="微信图片_20241129164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1129164046"/>
                    <pic:cNvPicPr>
                      <a:picLocks noChangeAspect="1"/>
                    </pic:cNvPicPr>
                  </pic:nvPicPr>
                  <pic:blipFill>
                    <a:blip r:embed="rId4"/>
                    <a:stretch>
                      <a:fillRect/>
                    </a:stretch>
                  </pic:blipFill>
                  <pic:spPr>
                    <a:xfrm>
                      <a:off x="0" y="0"/>
                      <a:ext cx="5744845" cy="4308475"/>
                    </a:xfrm>
                    <a:prstGeom prst="rect">
                      <a:avLst/>
                    </a:prstGeom>
                  </pic:spPr>
                </pic:pic>
              </a:graphicData>
            </a:graphic>
          </wp:inline>
        </w:drawing>
      </w:r>
      <w:r>
        <w:rPr>
          <w:rFonts w:hint="eastAsia"/>
          <w:sz w:val="28"/>
          <w:szCs w:val="28"/>
          <w:lang w:val="en-US" w:eastAsia="zh-CN"/>
        </w:rPr>
        <w:drawing>
          <wp:inline distT="0" distB="0" distL="114300" distR="114300">
            <wp:extent cx="5744845" cy="4308475"/>
            <wp:effectExtent l="0" t="0" r="8255" b="15875"/>
            <wp:docPr id="4" name="图片 4" descr="微信图片_20241129164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1129164105"/>
                    <pic:cNvPicPr>
                      <a:picLocks noChangeAspect="1"/>
                    </pic:cNvPicPr>
                  </pic:nvPicPr>
                  <pic:blipFill>
                    <a:blip r:embed="rId5"/>
                    <a:stretch>
                      <a:fillRect/>
                    </a:stretch>
                  </pic:blipFill>
                  <pic:spPr>
                    <a:xfrm>
                      <a:off x="0" y="0"/>
                      <a:ext cx="5744845" cy="4308475"/>
                    </a:xfrm>
                    <a:prstGeom prst="rect">
                      <a:avLst/>
                    </a:prstGeom>
                  </pic:spPr>
                </pic:pic>
              </a:graphicData>
            </a:graphic>
          </wp:inline>
        </w:drawing>
      </w:r>
      <w:r>
        <w:rPr>
          <w:rFonts w:hint="eastAsia"/>
          <w:sz w:val="28"/>
          <w:szCs w:val="28"/>
          <w:lang w:val="en-US" w:eastAsia="zh-CN"/>
        </w:rPr>
        <w:drawing>
          <wp:inline distT="0" distB="0" distL="114300" distR="114300">
            <wp:extent cx="5429250" cy="4072255"/>
            <wp:effectExtent l="0" t="0" r="0" b="4445"/>
            <wp:docPr id="5" name="图片 5" descr="IMG_20241218_15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41218_151030"/>
                    <pic:cNvPicPr>
                      <a:picLocks noChangeAspect="1"/>
                    </pic:cNvPicPr>
                  </pic:nvPicPr>
                  <pic:blipFill>
                    <a:blip r:embed="rId6"/>
                    <a:stretch>
                      <a:fillRect/>
                    </a:stretch>
                  </pic:blipFill>
                  <pic:spPr>
                    <a:xfrm>
                      <a:off x="0" y="0"/>
                      <a:ext cx="5429250" cy="4072255"/>
                    </a:xfrm>
                    <a:prstGeom prst="rect">
                      <a:avLst/>
                    </a:prstGeom>
                  </pic:spPr>
                </pic:pic>
              </a:graphicData>
            </a:graphic>
          </wp:inline>
        </w:drawing>
      </w:r>
      <w:r>
        <w:rPr>
          <w:rFonts w:hint="eastAsia"/>
          <w:sz w:val="28"/>
          <w:szCs w:val="28"/>
          <w:lang w:val="en-US" w:eastAsia="zh-CN"/>
        </w:rPr>
        <w:drawing>
          <wp:inline distT="0" distB="0" distL="114300" distR="114300">
            <wp:extent cx="5408930" cy="4057015"/>
            <wp:effectExtent l="0" t="0" r="1270" b="635"/>
            <wp:docPr id="6" name="图片 6" descr="IMG_20241218_15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41218_151002"/>
                    <pic:cNvPicPr>
                      <a:picLocks noChangeAspect="1"/>
                    </pic:cNvPicPr>
                  </pic:nvPicPr>
                  <pic:blipFill>
                    <a:blip r:embed="rId7"/>
                    <a:stretch>
                      <a:fillRect/>
                    </a:stretch>
                  </pic:blipFill>
                  <pic:spPr>
                    <a:xfrm>
                      <a:off x="0" y="0"/>
                      <a:ext cx="5408930" cy="4057015"/>
                    </a:xfrm>
                    <a:prstGeom prst="rect">
                      <a:avLst/>
                    </a:prstGeom>
                  </pic:spPr>
                </pic:pic>
              </a:graphicData>
            </a:graphic>
          </wp:inline>
        </w:drawing>
      </w:r>
      <w:r>
        <w:rPr>
          <w:rFonts w:hint="eastAsia"/>
          <w:sz w:val="28"/>
          <w:szCs w:val="28"/>
          <w:lang w:val="en-US" w:eastAsia="zh-CN"/>
        </w:rPr>
        <w:drawing>
          <wp:inline distT="0" distB="0" distL="114300" distR="114300">
            <wp:extent cx="4410075" cy="6877050"/>
            <wp:effectExtent l="0" t="0" r="9525" b="0"/>
            <wp:docPr id="1" name="图片 1" descr="1748917777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8917777508"/>
                    <pic:cNvPicPr>
                      <a:picLocks noChangeAspect="1"/>
                    </pic:cNvPicPr>
                  </pic:nvPicPr>
                  <pic:blipFill>
                    <a:blip r:embed="rId8"/>
                    <a:stretch>
                      <a:fillRect/>
                    </a:stretch>
                  </pic:blipFill>
                  <pic:spPr>
                    <a:xfrm>
                      <a:off x="0" y="0"/>
                      <a:ext cx="4410075" cy="6877050"/>
                    </a:xfrm>
                    <a:prstGeom prst="rect">
                      <a:avLst/>
                    </a:prstGeom>
                  </pic:spPr>
                </pic:pic>
              </a:graphicData>
            </a:graphic>
          </wp:inline>
        </w:drawing>
      </w:r>
      <w:r>
        <w:rPr>
          <w:rFonts w:hint="eastAsia"/>
          <w:sz w:val="28"/>
          <w:szCs w:val="28"/>
          <w:lang w:val="en-US" w:eastAsia="zh-CN"/>
        </w:rPr>
        <w:drawing>
          <wp:inline distT="0" distB="0" distL="114300" distR="114300">
            <wp:extent cx="4391025" cy="6086475"/>
            <wp:effectExtent l="0" t="0" r="9525" b="9525"/>
            <wp:docPr id="2" name="图片 2" descr="174891780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48917801490"/>
                    <pic:cNvPicPr>
                      <a:picLocks noChangeAspect="1"/>
                    </pic:cNvPicPr>
                  </pic:nvPicPr>
                  <pic:blipFill>
                    <a:blip r:embed="rId9"/>
                    <a:stretch>
                      <a:fillRect/>
                    </a:stretch>
                  </pic:blipFill>
                  <pic:spPr>
                    <a:xfrm>
                      <a:off x="0" y="0"/>
                      <a:ext cx="4391025" cy="6086475"/>
                    </a:xfrm>
                    <a:prstGeom prst="rect">
                      <a:avLst/>
                    </a:prstGeom>
                  </pic:spPr>
                </pic:pic>
              </a:graphicData>
            </a:graphic>
          </wp:inline>
        </w:drawing>
      </w:r>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ZWMwZmRjMzZlYzM2NWRiYjJmYjFkYTJjZWJiMTcifQ=="/>
  </w:docVars>
  <w:rsids>
    <w:rsidRoot w:val="35CC29B8"/>
    <w:rsid w:val="02B7705E"/>
    <w:rsid w:val="03CC63D7"/>
    <w:rsid w:val="04F76473"/>
    <w:rsid w:val="06ED2842"/>
    <w:rsid w:val="07A11E1A"/>
    <w:rsid w:val="098D48F6"/>
    <w:rsid w:val="09D5345C"/>
    <w:rsid w:val="0A1C5EDC"/>
    <w:rsid w:val="0A27015B"/>
    <w:rsid w:val="0A5D5908"/>
    <w:rsid w:val="0BD51C61"/>
    <w:rsid w:val="0EDC1223"/>
    <w:rsid w:val="12386C7D"/>
    <w:rsid w:val="131B2F20"/>
    <w:rsid w:val="13D12EE6"/>
    <w:rsid w:val="153C4810"/>
    <w:rsid w:val="16BC1C2B"/>
    <w:rsid w:val="1C4A2E55"/>
    <w:rsid w:val="1DE92E23"/>
    <w:rsid w:val="1E1E483E"/>
    <w:rsid w:val="1FF73CD4"/>
    <w:rsid w:val="22CB7136"/>
    <w:rsid w:val="284F788D"/>
    <w:rsid w:val="2A9D36CA"/>
    <w:rsid w:val="2E5E68CC"/>
    <w:rsid w:val="2EC41433"/>
    <w:rsid w:val="2F917EEC"/>
    <w:rsid w:val="31297B3A"/>
    <w:rsid w:val="355F439E"/>
    <w:rsid w:val="35CC29B8"/>
    <w:rsid w:val="361E3E5D"/>
    <w:rsid w:val="37A6654A"/>
    <w:rsid w:val="38B36882"/>
    <w:rsid w:val="3BB85D78"/>
    <w:rsid w:val="3C176B62"/>
    <w:rsid w:val="420C1409"/>
    <w:rsid w:val="4706325F"/>
    <w:rsid w:val="47290367"/>
    <w:rsid w:val="48FE4AE5"/>
    <w:rsid w:val="4ECC7680"/>
    <w:rsid w:val="4F5D6EDB"/>
    <w:rsid w:val="537F016A"/>
    <w:rsid w:val="563D798B"/>
    <w:rsid w:val="567C6788"/>
    <w:rsid w:val="579A241E"/>
    <w:rsid w:val="58840D76"/>
    <w:rsid w:val="5C8B1D2D"/>
    <w:rsid w:val="5D511379"/>
    <w:rsid w:val="60FB542C"/>
    <w:rsid w:val="636808F8"/>
    <w:rsid w:val="64FD4259"/>
    <w:rsid w:val="68CD7C3A"/>
    <w:rsid w:val="6AD40467"/>
    <w:rsid w:val="6B3179BA"/>
    <w:rsid w:val="6BF95CAB"/>
    <w:rsid w:val="6C4D48B3"/>
    <w:rsid w:val="6D0669CA"/>
    <w:rsid w:val="6FDF53A7"/>
    <w:rsid w:val="717A11AE"/>
    <w:rsid w:val="72FD2CFB"/>
    <w:rsid w:val="74AE7C8C"/>
    <w:rsid w:val="76511CAD"/>
    <w:rsid w:val="7772596D"/>
    <w:rsid w:val="788E5851"/>
    <w:rsid w:val="7AB02F22"/>
    <w:rsid w:val="7C9C2DAE"/>
    <w:rsid w:val="7DAC7505"/>
    <w:rsid w:val="7DD14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spacing w:line="560" w:lineRule="exact"/>
      <w:ind w:firstLine="200"/>
      <w:jc w:val="center"/>
      <w:outlineLvl w:val="1"/>
    </w:pPr>
    <w:rPr>
      <w:rFonts w:eastAsia="楷体_GB2312"/>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b/>
      <w:sz w:val="24"/>
      <w:u w:val="single"/>
    </w:rPr>
  </w:style>
  <w:style w:type="paragraph" w:styleId="3">
    <w:name w:val="Body Text"/>
    <w:basedOn w:val="1"/>
    <w:qFormat/>
    <w:uiPriority w:val="99"/>
    <w:pPr>
      <w:widowControl/>
      <w:spacing w:line="520" w:lineRule="exact"/>
      <w:ind w:firstLine="200" w:firstLineChars="200"/>
      <w:textAlignment w:val="baseline"/>
    </w:pPr>
    <w:rPr>
      <w:rFonts w:ascii="宋体" w:hAnsi="宋体"/>
      <w:color w:val="000000"/>
      <w:spacing w:val="10"/>
      <w:kern w:val="0"/>
      <w:sz w:val="24"/>
      <w:szCs w:val="24"/>
      <w:u w:color="000000"/>
    </w:rPr>
  </w:style>
  <w:style w:type="paragraph" w:styleId="5">
    <w:name w:val="Normal Indent"/>
    <w:basedOn w:val="1"/>
    <w:qFormat/>
    <w:uiPriority w:val="99"/>
    <w:pPr>
      <w:ind w:firstLine="420"/>
    </w:pPr>
  </w:style>
  <w:style w:type="paragraph" w:styleId="6">
    <w:name w:val="Plain Text"/>
    <w:basedOn w:val="1"/>
    <w:unhideWhenUsed/>
    <w:qFormat/>
    <w:uiPriority w:val="99"/>
    <w:rPr>
      <w:rFonts w:ascii="宋体" w:hAnsi="Courier New"/>
      <w:kern w:val="0"/>
      <w:sz w:val="20"/>
      <w:szCs w:val="20"/>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
    <w:name w:val="111"/>
    <w:basedOn w:val="12"/>
    <w:qFormat/>
    <w:uiPriority w:val="0"/>
    <w:pPr>
      <w:widowControl/>
      <w:spacing w:beforeAutospacing="0" w:afterAutospacing="0"/>
      <w:jc w:val="left"/>
    </w:pPr>
    <w:rPr>
      <w:rFonts w:ascii="宋体" w:hAnsi="宋体" w:eastAsia="宋体" w:cs="宋体"/>
      <w:kern w:val="0"/>
      <w:sz w:val="24"/>
      <w:szCs w:val="24"/>
    </w:rPr>
  </w:style>
  <w:style w:type="paragraph" w:customStyle="1" w:styleId="12">
    <w:name w:val="题目"/>
    <w:basedOn w:val="1"/>
    <w:qFormat/>
    <w:uiPriority w:val="0"/>
    <w:pPr>
      <w:jc w:val="center"/>
      <w:outlineLvl w:val="0"/>
    </w:pPr>
    <w:rPr>
      <w:rFonts w:ascii="黑体" w:hAnsi="黑体" w:eastAsia="黑体"/>
      <w:sz w:val="32"/>
      <w:szCs w:val="32"/>
    </w:rPr>
  </w:style>
  <w:style w:type="paragraph" w:customStyle="1" w:styleId="13">
    <w:name w:val="Table Text"/>
    <w:basedOn w:val="1"/>
    <w:semiHidden/>
    <w:qFormat/>
    <w:uiPriority w:val="0"/>
    <w:rPr>
      <w:rFonts w:ascii="宋体" w:hAnsi="宋体" w:eastAsia="宋体" w:cs="宋体"/>
      <w:sz w:val="20"/>
      <w:szCs w:val="20"/>
      <w:lang w:val="en-US" w:eastAsia="en-US" w:bidi="ar-SA"/>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6评价正文"/>
    <w:qFormat/>
    <w:uiPriority w:val="0"/>
    <w:pPr>
      <w:spacing w:line="520" w:lineRule="exact"/>
      <w:ind w:firstLine="200" w:firstLineChars="200"/>
      <w:jc w:val="both"/>
    </w:pPr>
    <w:rPr>
      <w:rFonts w:ascii="Times New Roman" w:hAnsi="Times New Roman" w:eastAsia="宋体" w:cs="Times New Roman"/>
      <w:sz w:val="28"/>
      <w:lang w:val="en-US" w:eastAsia="zh-CN" w:bidi="ar-SA"/>
    </w:rPr>
  </w:style>
  <w:style w:type="paragraph" w:customStyle="1" w:styleId="16">
    <w:name w:val="1评价标题"/>
    <w:qFormat/>
    <w:uiPriority w:val="0"/>
    <w:pPr>
      <w:pageBreakBefore/>
      <w:spacing w:before="100" w:beforeLines="100" w:after="100" w:afterLines="100" w:line="520" w:lineRule="exact"/>
      <w:jc w:val="center"/>
      <w:outlineLvl w:val="0"/>
    </w:pPr>
    <w:rPr>
      <w:rFonts w:ascii="Times New Roman" w:hAnsi="Times New Roman" w:eastAsia="黑体" w:cs="Times New Roman"/>
      <w:kern w:val="2"/>
      <w:sz w:val="32"/>
      <w:szCs w:val="21"/>
      <w:lang w:val="en-US" w:eastAsia="zh-CN" w:bidi="ar-SA"/>
    </w:rPr>
  </w:style>
  <w:style w:type="paragraph" w:customStyle="1" w:styleId="17">
    <w:name w:val="5标题评价表格"/>
    <w:qFormat/>
    <w:uiPriority w:val="0"/>
    <w:pPr>
      <w:spacing w:line="520" w:lineRule="exact"/>
      <w:jc w:val="center"/>
      <w:outlineLvl w:val="4"/>
    </w:pPr>
    <w:rPr>
      <w:rFonts w:ascii="Times New Roman" w:hAnsi="Times New Roman" w:eastAsia="黑体" w:cs="Times New Roman"/>
      <w:kern w:val="2"/>
      <w:sz w:val="24"/>
      <w:szCs w:val="28"/>
      <w:u w:color="000000"/>
      <w:lang w:val="en-US" w:eastAsia="zh-CN" w:bidi="ar-SA"/>
    </w:rPr>
  </w:style>
  <w:style w:type="paragraph" w:customStyle="1" w:styleId="18">
    <w:name w:val="5内容评价表格"/>
    <w:qFormat/>
    <w:uiPriority w:val="0"/>
    <w:pPr>
      <w:spacing w:line="300" w:lineRule="exact"/>
      <w:jc w:val="center"/>
    </w:pPr>
    <w:rPr>
      <w:rFonts w:ascii="Times New Roman" w:hAnsi="Times New Roman" w:eastAsia="宋体" w:cs="Times New Roman"/>
      <w:kern w:val="2"/>
      <w:sz w:val="21"/>
      <w:szCs w:val="21"/>
      <w:u w:color="000000"/>
      <w:lang w:val="en-US" w:eastAsia="zh-CN" w:bidi="ar-SA"/>
    </w:rPr>
  </w:style>
  <w:style w:type="paragraph" w:customStyle="1" w:styleId="19">
    <w:name w:val="7评价备注"/>
    <w:qFormat/>
    <w:uiPriority w:val="0"/>
    <w:pPr>
      <w:spacing w:line="400" w:lineRule="exact"/>
      <w:ind w:firstLine="200" w:firstLineChars="200"/>
    </w:pPr>
    <w:rPr>
      <w:rFonts w:ascii="Times New Roman" w:hAnsi="Times New Roman" w:eastAsia="黑体" w:cs="Times New Roman"/>
      <w:spacing w:val="4"/>
      <w:kern w:val="2"/>
      <w:sz w:val="21"/>
      <w:szCs w:val="24"/>
      <w:lang w:val="en-US" w:eastAsia="zh-CN" w:bidi="ar-SA"/>
    </w:rPr>
  </w:style>
  <w:style w:type="paragraph" w:customStyle="1" w:styleId="20">
    <w:name w:val="3评价标题"/>
    <w:qFormat/>
    <w:uiPriority w:val="0"/>
    <w:pPr>
      <w:spacing w:line="520" w:lineRule="exact"/>
      <w:ind w:firstLine="200" w:firstLineChars="200"/>
      <w:outlineLvl w:val="2"/>
    </w:pPr>
    <w:rPr>
      <w:rFonts w:ascii="Times New Roman" w:hAnsi="Times New Roman" w:eastAsia="黑体" w:cs="Times New Roman"/>
      <w:sz w:val="28"/>
      <w:u w:color="000000"/>
      <w:lang w:val="en-US" w:eastAsia="zh-CN" w:bidi="ar-SA"/>
    </w:rPr>
  </w:style>
  <w:style w:type="paragraph" w:customStyle="1" w:styleId="21">
    <w:name w:val="表内文字"/>
    <w:basedOn w:val="6"/>
    <w:qFormat/>
    <w:uiPriority w:val="0"/>
    <w:pPr>
      <w:spacing w:line="320" w:lineRule="exact"/>
      <w:jc w:val="center"/>
    </w:pPr>
    <w:rPr>
      <w:rFonts w:ascii="Times New Roman" w:hAnsi="Times New Roman"/>
      <w:kern w:val="2"/>
      <w:sz w:val="21"/>
      <w:szCs w:val="21"/>
      <w:u w:color="00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3517</Words>
  <Characters>3782</Characters>
  <Lines>0</Lines>
  <Paragraphs>0</Paragraphs>
  <TotalTime>0</TotalTime>
  <ScaleCrop>false</ScaleCrop>
  <LinksUpToDate>false</LinksUpToDate>
  <CharactersWithSpaces>4147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2023-09-27T02:48:00Z</dcterms:created>
  <dc:creator>天舞</dc:creator>
  <cp:lastModifiedBy>Administrator</cp:lastModifiedBy>
  <dcterms:modified xsi:type="dcterms:W3CDTF">2024-12-31T02:41:48Z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158E41C4130D45F7BB2A42425FB8946B_11</vt:lpwstr>
  </property>
  <property fmtid="{D5CDD505-2E9C-101B-9397-08002B2CF9AE}" pid="4" name="KSOTemplateDocerSaveRecord">
    <vt:lpwstr>eyJoZGlkIjoiZjE3OTA5MjhjYzFkNzA1MTExN2Y4Y2VmYWI1OTZiZjUiLCJ1c2VySWQiOiI0NDUyNjk3NzEifQ==</vt:lpwstr>
  </property>
</Properties>
</file>