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6C6CB">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2A4BFBB0">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中国石化山东泰山石油股份有限公司肥城第</w:t>
            </w:r>
            <w:r>
              <w:rPr>
                <w:rFonts w:hint="eastAsia"/>
                <w:color w:val="000000"/>
                <w:szCs w:val="21"/>
                <w:lang w:val="en-US" w:eastAsia="zh-CN"/>
              </w:rPr>
              <w:t>二</w:t>
            </w:r>
            <w:r>
              <w:rPr>
                <w:rFonts w:hint="eastAsia"/>
                <w:color w:val="000000"/>
                <w:szCs w:val="21"/>
                <w:lang w:eastAsia="zh-CN"/>
              </w:rPr>
              <w:t>十二加油站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adjustRightInd w:val="0"/>
              <w:snapToGrid w:val="0"/>
              <w:spacing w:line="240" w:lineRule="auto"/>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该加油站现有埋地双层储油罐4只，</w:t>
            </w:r>
            <w:r>
              <w:rPr>
                <w:rFonts w:hint="eastAsia"/>
                <w:color w:val="auto"/>
              </w:rPr>
              <w:t>1台30m</w:t>
            </w:r>
            <w:r>
              <w:rPr>
                <w:rFonts w:hint="eastAsia"/>
                <w:color w:val="auto"/>
                <w:vertAlign w:val="superscript"/>
              </w:rPr>
              <w:t>3</w:t>
            </w:r>
            <w:r>
              <w:rPr>
                <w:rFonts w:hint="eastAsia"/>
                <w:color w:val="auto"/>
              </w:rPr>
              <w:t>92#乙醇汽油罐、</w:t>
            </w:r>
            <w:r>
              <w:rPr>
                <w:color w:val="auto"/>
              </w:rPr>
              <w:t>1</w:t>
            </w:r>
            <w:r>
              <w:rPr>
                <w:rFonts w:hint="eastAsia"/>
                <w:color w:val="auto"/>
              </w:rPr>
              <w:t>台30m</w:t>
            </w:r>
            <w:r>
              <w:rPr>
                <w:rFonts w:hint="eastAsia"/>
                <w:color w:val="auto"/>
                <w:vertAlign w:val="superscript"/>
              </w:rPr>
              <w:t>3</w:t>
            </w:r>
            <w:r>
              <w:rPr>
                <w:rFonts w:hint="eastAsia"/>
                <w:color w:val="auto"/>
              </w:rPr>
              <w:t>95#汽油罐、</w:t>
            </w:r>
            <w:r>
              <w:rPr>
                <w:color w:val="auto"/>
              </w:rPr>
              <w:t>1</w:t>
            </w:r>
            <w:r>
              <w:rPr>
                <w:rFonts w:hint="eastAsia"/>
                <w:color w:val="auto"/>
              </w:rPr>
              <w:t>台30m</w:t>
            </w:r>
            <w:r>
              <w:rPr>
                <w:rFonts w:hint="eastAsia"/>
                <w:color w:val="auto"/>
                <w:vertAlign w:val="superscript"/>
              </w:rPr>
              <w:t>3</w:t>
            </w:r>
            <w:r>
              <w:rPr>
                <w:rFonts w:hint="eastAsia"/>
                <w:color w:val="auto"/>
              </w:rPr>
              <w:t>98#汽油罐、2台30m</w:t>
            </w:r>
            <w:r>
              <w:rPr>
                <w:rFonts w:hint="eastAsia"/>
                <w:color w:val="auto"/>
                <w:vertAlign w:val="superscript"/>
              </w:rPr>
              <w:t>3</w:t>
            </w:r>
            <w:r>
              <w:rPr>
                <w:rFonts w:hint="eastAsia"/>
                <w:color w:val="auto"/>
              </w:rPr>
              <w:t>柴油罐</w:t>
            </w:r>
            <w:r>
              <w:rPr>
                <w:rFonts w:hint="eastAsia"/>
                <w:color w:val="auto"/>
                <w:highlight w:val="none"/>
                <w:lang w:eastAsia="zh-CN"/>
              </w:rPr>
              <w:t>。</w:t>
            </w:r>
            <w:r>
              <w:rPr>
                <w:rFonts w:hint="eastAsia"/>
                <w:color w:val="auto"/>
                <w:lang w:val="en-US" w:eastAsia="zh-CN"/>
              </w:rPr>
              <w:t>加油站设置</w:t>
            </w:r>
            <w:r>
              <w:rPr>
                <w:color w:val="auto"/>
              </w:rPr>
              <w:t>罩棚一处，</w:t>
            </w:r>
            <w:r>
              <w:rPr>
                <w:rFonts w:hint="eastAsia"/>
                <w:color w:val="auto"/>
              </w:rPr>
              <w:t>罩棚下设置1台4枪加油机（92#/95#）、1台双枪加油机（92#），4台单枪加油机（3台0#/1台98#）</w:t>
            </w:r>
            <w:r>
              <w:rPr>
                <w:rFonts w:hint="eastAsia"/>
                <w:color w:val="auto"/>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2023.12.26</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2024.9.1</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2024.9.2</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2024.9.6</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安全评价报告提交时间：2024.10.15</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4CDE07B2">
      <w:pPr>
        <w:pStyle w:val="17"/>
        <w:widowControl w:val="0"/>
        <w:adjustRightInd w:val="0"/>
        <w:snapToGrid w:val="0"/>
        <w:spacing w:line="360" w:lineRule="auto"/>
        <w:ind w:firstLine="562"/>
        <w:rPr>
          <w:b/>
          <w:bCs/>
          <w:color w:val="auto"/>
        </w:rPr>
      </w:pPr>
    </w:p>
    <w:p w14:paraId="24E47A29">
      <w:pPr>
        <w:pStyle w:val="18"/>
        <w:keepLines w:val="0"/>
        <w:wordWrap/>
        <w:overflowPunct/>
        <w:topLinePunct w:val="0"/>
        <w:bidi w:val="0"/>
        <w:adjustRightInd w:val="0"/>
        <w:snapToGrid w:val="0"/>
        <w:spacing w:before="312" w:after="312" w:line="360" w:lineRule="auto"/>
        <w:rPr>
          <w:color w:val="auto"/>
        </w:rPr>
      </w:pPr>
      <w:bookmarkStart w:id="0" w:name="_Toc102634395"/>
      <w:bookmarkStart w:id="1" w:name="_Toc102633969"/>
      <w:bookmarkStart w:id="2" w:name="_Toc102633895"/>
      <w:bookmarkStart w:id="3" w:name="_Toc102634226"/>
      <w:bookmarkStart w:id="4" w:name="_Toc15033742"/>
      <w:bookmarkStart w:id="5" w:name="_Toc8295"/>
      <w:r>
        <w:rPr>
          <w:rFonts w:hint="eastAsia"/>
          <w:color w:val="auto"/>
        </w:rPr>
        <w:t>第二章 加油站概况</w:t>
      </w:r>
      <w:bookmarkEnd w:id="0"/>
      <w:bookmarkEnd w:id="1"/>
      <w:bookmarkEnd w:id="2"/>
      <w:bookmarkEnd w:id="3"/>
      <w:bookmarkEnd w:id="4"/>
      <w:bookmarkEnd w:id="5"/>
    </w:p>
    <w:p w14:paraId="6C2F31DC">
      <w:pPr>
        <w:pStyle w:val="4"/>
        <w:keepLines w:val="0"/>
        <w:wordWrap/>
        <w:overflowPunct/>
        <w:topLinePunct w:val="0"/>
        <w:bidi w:val="0"/>
        <w:adjustRightInd w:val="0"/>
        <w:snapToGrid w:val="0"/>
        <w:spacing w:before="312" w:beforeLines="100" w:after="312" w:afterLines="100" w:line="360" w:lineRule="auto"/>
        <w:ind w:firstLine="0"/>
        <w:rPr>
          <w:color w:val="auto"/>
        </w:rPr>
      </w:pPr>
      <w:bookmarkStart w:id="6" w:name="_Toc26504"/>
      <w:bookmarkStart w:id="7" w:name="_Toc30066"/>
      <w:bookmarkStart w:id="8" w:name="_Toc102634227"/>
      <w:bookmarkStart w:id="9" w:name="_Toc102633896"/>
      <w:bookmarkStart w:id="10" w:name="_Toc13779"/>
      <w:bookmarkStart w:id="11" w:name="_Toc102633970"/>
      <w:bookmarkStart w:id="12" w:name="_Toc272364524"/>
      <w:bookmarkStart w:id="13" w:name="_Toc15033743"/>
      <w:bookmarkStart w:id="14" w:name="_Toc102634396"/>
      <w:bookmarkStart w:id="15" w:name="_Toc208733856"/>
      <w:r>
        <w:rPr>
          <w:rFonts w:hint="eastAsia"/>
          <w:color w:val="auto"/>
        </w:rPr>
        <w:t>第一节 加油站基本情况</w:t>
      </w:r>
      <w:bookmarkEnd w:id="6"/>
      <w:bookmarkEnd w:id="7"/>
      <w:bookmarkEnd w:id="8"/>
      <w:bookmarkEnd w:id="9"/>
      <w:bookmarkEnd w:id="10"/>
      <w:bookmarkEnd w:id="11"/>
      <w:bookmarkEnd w:id="12"/>
      <w:bookmarkEnd w:id="13"/>
      <w:bookmarkEnd w:id="14"/>
      <w:bookmarkEnd w:id="15"/>
    </w:p>
    <w:p w14:paraId="6998C340">
      <w:pPr>
        <w:keepLines w:val="0"/>
        <w:wordWrap/>
        <w:overflowPunct/>
        <w:topLinePunct w:val="0"/>
        <w:bidi w:val="0"/>
        <w:adjustRightInd w:val="0"/>
        <w:snapToGrid w:val="0"/>
        <w:spacing w:line="360" w:lineRule="auto"/>
        <w:ind w:firstLine="560" w:firstLineChars="200"/>
        <w:rPr>
          <w:rFonts w:ascii="宋体"/>
          <w:color w:val="auto"/>
        </w:rPr>
      </w:pPr>
      <w:r>
        <w:rPr>
          <w:rFonts w:hint="eastAsia" w:ascii="宋体" w:hAnsi="宋体"/>
          <w:color w:val="auto"/>
          <w:sz w:val="28"/>
          <w:szCs w:val="28"/>
        </w:rPr>
        <w:t>中国石化山东泰山石油股份有限公司肥城第二十二加油站位于</w:t>
      </w:r>
      <w:r>
        <w:rPr>
          <w:rFonts w:hint="eastAsia" w:ascii="宋体" w:hAnsi="宋体"/>
          <w:color w:val="auto"/>
          <w:sz w:val="28"/>
        </w:rPr>
        <w:t>山东省泰安市肥城市王瓜店镇矿务局医院西300米处泰临路北，</w:t>
      </w:r>
      <w:r>
        <w:rPr>
          <w:rFonts w:hint="eastAsia" w:ascii="宋体" w:hAnsi="宋体" w:cs="宋体"/>
          <w:color w:val="auto"/>
          <w:sz w:val="28"/>
          <w:szCs w:val="28"/>
        </w:rPr>
        <w:t>加油站北侧是民房，东侧是亿丰汽贸城民房和汽修厂（无明火），西侧是肥梁路，南侧是泰临路。</w:t>
      </w:r>
      <w:r>
        <w:rPr>
          <w:rFonts w:hint="eastAsia" w:ascii="宋体" w:hAnsi="宋体"/>
          <w:color w:val="auto"/>
          <w:sz w:val="28"/>
        </w:rPr>
        <w:t>该站经营许可范围为</w:t>
      </w:r>
      <w:r>
        <w:rPr>
          <w:rFonts w:hint="eastAsia" w:asciiTheme="minorEastAsia" w:hAnsiTheme="minorEastAsia" w:eastAsiaTheme="minorEastAsia" w:cstheme="minorEastAsia"/>
          <w:color w:val="auto"/>
          <w:sz w:val="28"/>
          <w:szCs w:val="28"/>
        </w:rPr>
        <w:t>汽油、乙醇汽油</w:t>
      </w:r>
      <w:r>
        <w:rPr>
          <w:rFonts w:hint="eastAsia" w:ascii="宋体" w:hAnsi="宋体"/>
          <w:color w:val="auto"/>
          <w:sz w:val="28"/>
        </w:rPr>
        <w:t>、柴油，现其主要经营储存汽油、乙醇汽油、0#柴油（换季销售-</w:t>
      </w:r>
      <w:r>
        <w:rPr>
          <w:rFonts w:ascii="宋体" w:hAnsi="宋体"/>
          <w:color w:val="auto"/>
          <w:sz w:val="28"/>
        </w:rPr>
        <w:t>10#</w:t>
      </w:r>
      <w:r>
        <w:rPr>
          <w:rFonts w:hint="eastAsia" w:ascii="宋体" w:hAnsi="宋体"/>
          <w:color w:val="auto"/>
          <w:sz w:val="28"/>
        </w:rPr>
        <w:t>柴油）</w:t>
      </w:r>
      <w:r>
        <w:rPr>
          <w:rFonts w:hint="eastAsia" w:ascii="宋体" w:hAnsi="宋体"/>
          <w:snapToGrid w:val="0"/>
          <w:color w:val="auto"/>
          <w:kern w:val="0"/>
          <w:sz w:val="28"/>
        </w:rPr>
        <w:t>。</w:t>
      </w:r>
      <w:r>
        <w:rPr>
          <w:rFonts w:hint="eastAsia" w:ascii="宋体" w:hAnsi="宋体"/>
          <w:color w:val="auto"/>
          <w:sz w:val="28"/>
        </w:rPr>
        <w:t>此次现状评价报告与三年前报告相比，新增可燃气体探测器2套，其余周边环境、站内设备设施、主要建构筑物未发生变化。</w:t>
      </w:r>
    </w:p>
    <w:p w14:paraId="248751AF">
      <w:pPr>
        <w:pStyle w:val="17"/>
        <w:keepLines w:val="0"/>
        <w:widowControl w:val="0"/>
        <w:wordWrap/>
        <w:overflowPunct/>
        <w:topLinePunct w:val="0"/>
        <w:bidi w:val="0"/>
        <w:adjustRightInd w:val="0"/>
        <w:snapToGrid w:val="0"/>
        <w:spacing w:line="360" w:lineRule="auto"/>
        <w:ind w:firstLine="560"/>
        <w:rPr>
          <w:rFonts w:ascii="宋体"/>
          <w:color w:val="auto"/>
          <w:vertAlign w:val="superscript"/>
        </w:rPr>
      </w:pPr>
      <w:r>
        <w:rPr>
          <w:rFonts w:hint="eastAsia" w:ascii="宋体" w:hAnsi="宋体"/>
          <w:color w:val="auto"/>
          <w:szCs w:val="28"/>
        </w:rPr>
        <w:t>该加油站主要建有站房、罩棚、油罐区、加油区等。加油区在站房南侧，</w:t>
      </w:r>
      <w:r>
        <w:rPr>
          <w:rFonts w:hint="eastAsia" w:ascii="宋体" w:hAnsi="宋体"/>
          <w:color w:val="auto"/>
          <w:kern w:val="2"/>
          <w:szCs w:val="21"/>
        </w:rPr>
        <w:t>现有</w:t>
      </w:r>
      <w:r>
        <w:rPr>
          <w:rFonts w:hint="eastAsia"/>
          <w:color w:val="auto"/>
        </w:rPr>
        <w:t>1台4枪加油机（92#乙醇汽油/95#汽油）、1台双枪加油机（92#乙醇汽油），4台单枪加油机（3台0#柴油/1台98#汽油），</w:t>
      </w:r>
      <w:r>
        <w:rPr>
          <w:rFonts w:hint="eastAsia" w:ascii="宋体" w:hAnsi="宋体"/>
          <w:color w:val="auto"/>
          <w:kern w:val="2"/>
          <w:szCs w:val="21"/>
        </w:rPr>
        <w:t>均为自吸式</w:t>
      </w:r>
      <w:r>
        <w:rPr>
          <w:rFonts w:hint="eastAsia" w:ascii="宋体"/>
          <w:color w:val="auto"/>
        </w:rPr>
        <w:t>；</w:t>
      </w:r>
      <w:r>
        <w:rPr>
          <w:rFonts w:hint="eastAsia" w:ascii="宋体" w:hAnsi="宋体"/>
          <w:color w:val="auto"/>
          <w:szCs w:val="28"/>
        </w:rPr>
        <w:t>油罐区位于站房东侧，</w:t>
      </w:r>
      <w:r>
        <w:rPr>
          <w:rFonts w:hint="eastAsia" w:ascii="宋体"/>
          <w:color w:val="auto"/>
        </w:rPr>
        <w:t>现有5台30m³埋地双层储罐（1台92#乙醇汽油罐、1台95#汽油罐、1台98#汽油罐、2台柴油罐），</w:t>
      </w:r>
      <w:r>
        <w:rPr>
          <w:rFonts w:hint="eastAsia" w:ascii="宋体" w:hAnsi="宋体"/>
          <w:color w:val="auto"/>
          <w:szCs w:val="28"/>
        </w:rPr>
        <w:t>5台油罐均安装了液位仪、检漏仪</w:t>
      </w:r>
      <w:r>
        <w:rPr>
          <w:rFonts w:hint="eastAsia" w:ascii="宋体"/>
          <w:color w:val="auto"/>
        </w:rPr>
        <w:t>；汽油、柴油卸油口位于油罐区南侧；</w:t>
      </w:r>
      <w:r>
        <w:rPr>
          <w:rFonts w:hint="eastAsia" w:ascii="宋体" w:hAnsi="宋体"/>
          <w:color w:val="auto"/>
          <w:szCs w:val="28"/>
        </w:rPr>
        <w:t>通气管5根，该站设有二次油气回收系统，即卸油油气回收系统、加油油气回收系统；</w:t>
      </w:r>
      <w:r>
        <w:rPr>
          <w:rFonts w:hint="eastAsia" w:ascii="宋体"/>
          <w:color w:val="auto"/>
        </w:rPr>
        <w:t>按《汽车加油加气加氢站技术标准》GB50156-2021标准规定：油罐总储量为150m³，柴油储罐容积折半计入总容积为120m³，该站属二级加油站。</w:t>
      </w:r>
    </w:p>
    <w:p w14:paraId="76555B78">
      <w:pPr>
        <w:pStyle w:val="19"/>
        <w:keepLines w:val="0"/>
        <w:widowControl w:val="0"/>
        <w:wordWrap/>
        <w:overflowPunct/>
        <w:topLinePunct w:val="0"/>
        <w:bidi w:val="0"/>
        <w:adjustRightInd w:val="0"/>
        <w:snapToGrid w:val="0"/>
        <w:spacing w:line="360" w:lineRule="auto"/>
        <w:outlineLvl w:val="9"/>
        <w:rPr>
          <w:color w:val="auto"/>
        </w:rPr>
      </w:pPr>
      <w:r>
        <w:rPr>
          <w:color w:val="auto"/>
        </w:rPr>
        <w:t>表</w:t>
      </w:r>
      <w:r>
        <w:rPr>
          <w:rFonts w:ascii="黑体" w:hAnsi="黑体"/>
          <w:color w:val="auto"/>
        </w:rPr>
        <w:t xml:space="preserve">2.1-1 </w:t>
      </w:r>
      <w:r>
        <w:rPr>
          <w:color w:val="auto"/>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6795F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43A313F0">
            <w:pPr>
              <w:pStyle w:val="20"/>
              <w:keepLines w:val="0"/>
              <w:widowControl w:val="0"/>
              <w:wordWrap/>
              <w:overflowPunct/>
              <w:topLinePunct w:val="0"/>
              <w:bidi w:val="0"/>
              <w:adjustRightInd w:val="0"/>
              <w:snapToGrid w:val="0"/>
              <w:spacing w:line="360" w:lineRule="auto"/>
              <w:rPr>
                <w:rFonts w:hint="eastAsia" w:ascii="宋体" w:hAnsi="宋体"/>
                <w:b/>
                <w:bCs/>
                <w:color w:val="auto"/>
              </w:rPr>
            </w:pPr>
            <w:r>
              <w:rPr>
                <w:rFonts w:ascii="宋体" w:hAnsi="宋体"/>
                <w:b/>
                <w:bCs/>
                <w:color w:val="auto"/>
              </w:rPr>
              <w:t>加油站</w:t>
            </w:r>
            <w:r>
              <w:rPr>
                <w:rFonts w:hint="eastAsia" w:ascii="宋体" w:hAnsi="宋体"/>
                <w:b/>
                <w:bCs/>
                <w:color w:val="auto"/>
              </w:rPr>
              <w:t>等级</w:t>
            </w:r>
          </w:p>
        </w:tc>
        <w:tc>
          <w:tcPr>
            <w:tcW w:w="3338" w:type="pct"/>
            <w:gridSpan w:val="2"/>
            <w:vAlign w:val="center"/>
          </w:tcPr>
          <w:p w14:paraId="6240B614">
            <w:pPr>
              <w:pStyle w:val="20"/>
              <w:keepLines w:val="0"/>
              <w:widowControl w:val="0"/>
              <w:wordWrap/>
              <w:overflowPunct/>
              <w:topLinePunct w:val="0"/>
              <w:bidi w:val="0"/>
              <w:adjustRightInd w:val="0"/>
              <w:snapToGrid w:val="0"/>
              <w:spacing w:line="360" w:lineRule="auto"/>
              <w:rPr>
                <w:rFonts w:hint="eastAsia" w:ascii="宋体" w:hAnsi="宋体"/>
                <w:b/>
                <w:bCs/>
                <w:color w:val="auto"/>
              </w:rPr>
            </w:pPr>
            <w:r>
              <w:rPr>
                <w:rFonts w:ascii="宋体" w:hAnsi="宋体"/>
                <w:b/>
                <w:bCs/>
                <w:color w:val="auto"/>
              </w:rPr>
              <w:t>加油站油罐容积（m</w:t>
            </w:r>
            <w:r>
              <w:rPr>
                <w:rFonts w:ascii="宋体" w:hAnsi="宋体"/>
                <w:b/>
                <w:bCs/>
                <w:color w:val="auto"/>
                <w:vertAlign w:val="superscript"/>
              </w:rPr>
              <w:t>3</w:t>
            </w:r>
            <w:r>
              <w:rPr>
                <w:rFonts w:ascii="宋体" w:hAnsi="宋体"/>
                <w:b/>
                <w:bCs/>
                <w:color w:val="auto"/>
              </w:rPr>
              <w:t>）</w:t>
            </w:r>
          </w:p>
        </w:tc>
      </w:tr>
      <w:tr w14:paraId="5BD06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7F947436">
            <w:pPr>
              <w:pStyle w:val="20"/>
              <w:keepLines w:val="0"/>
              <w:widowControl w:val="0"/>
              <w:wordWrap/>
              <w:overflowPunct/>
              <w:topLinePunct w:val="0"/>
              <w:bidi w:val="0"/>
              <w:adjustRightInd w:val="0"/>
              <w:snapToGrid w:val="0"/>
              <w:spacing w:line="360" w:lineRule="auto"/>
              <w:rPr>
                <w:rFonts w:hint="eastAsia" w:ascii="宋体" w:hAnsi="宋体"/>
                <w:b/>
                <w:bCs/>
                <w:color w:val="auto"/>
              </w:rPr>
            </w:pPr>
          </w:p>
        </w:tc>
        <w:tc>
          <w:tcPr>
            <w:tcW w:w="1667" w:type="pct"/>
            <w:vAlign w:val="center"/>
          </w:tcPr>
          <w:p w14:paraId="7D3B2676">
            <w:pPr>
              <w:pStyle w:val="20"/>
              <w:keepLines w:val="0"/>
              <w:widowControl w:val="0"/>
              <w:wordWrap/>
              <w:overflowPunct/>
              <w:topLinePunct w:val="0"/>
              <w:bidi w:val="0"/>
              <w:adjustRightInd w:val="0"/>
              <w:snapToGrid w:val="0"/>
              <w:spacing w:line="360" w:lineRule="auto"/>
              <w:rPr>
                <w:rFonts w:hint="eastAsia" w:ascii="宋体" w:hAnsi="宋体"/>
                <w:b/>
                <w:bCs/>
                <w:color w:val="auto"/>
              </w:rPr>
            </w:pPr>
            <w:r>
              <w:rPr>
                <w:rFonts w:ascii="宋体" w:hAnsi="宋体"/>
                <w:b/>
                <w:bCs/>
                <w:color w:val="auto"/>
              </w:rPr>
              <w:t>总容积</w:t>
            </w:r>
            <w:r>
              <w:rPr>
                <w:rFonts w:hint="eastAsia" w:ascii="宋体" w:hAnsi="宋体"/>
                <w:b/>
                <w:bCs/>
                <w:color w:val="auto"/>
              </w:rPr>
              <w:t>V</w:t>
            </w:r>
          </w:p>
        </w:tc>
        <w:tc>
          <w:tcPr>
            <w:tcW w:w="1671" w:type="pct"/>
            <w:vAlign w:val="center"/>
          </w:tcPr>
          <w:p w14:paraId="613F7DF8">
            <w:pPr>
              <w:pStyle w:val="20"/>
              <w:keepLines w:val="0"/>
              <w:widowControl w:val="0"/>
              <w:wordWrap/>
              <w:overflowPunct/>
              <w:topLinePunct w:val="0"/>
              <w:bidi w:val="0"/>
              <w:adjustRightInd w:val="0"/>
              <w:snapToGrid w:val="0"/>
              <w:spacing w:line="360" w:lineRule="auto"/>
              <w:rPr>
                <w:rFonts w:hint="eastAsia" w:ascii="宋体" w:hAnsi="宋体"/>
                <w:b/>
                <w:bCs/>
                <w:color w:val="auto"/>
              </w:rPr>
            </w:pPr>
            <w:r>
              <w:rPr>
                <w:rFonts w:ascii="宋体" w:hAnsi="宋体"/>
                <w:b/>
                <w:bCs/>
                <w:color w:val="auto"/>
              </w:rPr>
              <w:t>单罐容积</w:t>
            </w:r>
          </w:p>
        </w:tc>
      </w:tr>
      <w:tr w14:paraId="04A3F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5C1E090">
            <w:pPr>
              <w:pStyle w:val="20"/>
              <w:keepLines w:val="0"/>
              <w:widowControl w:val="0"/>
              <w:wordWrap/>
              <w:overflowPunct/>
              <w:topLinePunct w:val="0"/>
              <w:bidi w:val="0"/>
              <w:adjustRightInd w:val="0"/>
              <w:snapToGrid w:val="0"/>
              <w:spacing w:line="360" w:lineRule="auto"/>
              <w:rPr>
                <w:rFonts w:hint="eastAsia" w:ascii="宋体" w:hAnsi="宋体"/>
                <w:color w:val="auto"/>
              </w:rPr>
            </w:pPr>
            <w:r>
              <w:rPr>
                <w:rFonts w:ascii="宋体" w:hAnsi="宋体"/>
                <w:color w:val="auto"/>
              </w:rPr>
              <w:t>一级</w:t>
            </w:r>
          </w:p>
        </w:tc>
        <w:tc>
          <w:tcPr>
            <w:tcW w:w="1667" w:type="pct"/>
            <w:vAlign w:val="center"/>
          </w:tcPr>
          <w:p w14:paraId="59D0E946">
            <w:pPr>
              <w:pStyle w:val="20"/>
              <w:keepLines w:val="0"/>
              <w:widowControl w:val="0"/>
              <w:wordWrap/>
              <w:overflowPunct/>
              <w:topLinePunct w:val="0"/>
              <w:bidi w:val="0"/>
              <w:adjustRightInd w:val="0"/>
              <w:snapToGrid w:val="0"/>
              <w:spacing w:line="360" w:lineRule="auto"/>
              <w:rPr>
                <w:rFonts w:hint="eastAsia" w:ascii="宋体" w:hAnsi="宋体"/>
                <w:color w:val="auto"/>
              </w:rPr>
            </w:pPr>
            <w:r>
              <w:rPr>
                <w:rFonts w:ascii="宋体" w:hAnsi="宋体"/>
                <w:color w:val="auto"/>
              </w:rPr>
              <w:t>150＜V</w:t>
            </w:r>
            <w:r>
              <w:rPr>
                <w:rFonts w:hint="eastAsia" w:ascii="宋体" w:hAnsi="宋体"/>
                <w:color w:val="auto"/>
              </w:rPr>
              <w:t>≤</w:t>
            </w:r>
            <w:r>
              <w:rPr>
                <w:rFonts w:ascii="宋体" w:hAnsi="宋体"/>
                <w:color w:val="auto"/>
              </w:rPr>
              <w:t>210</w:t>
            </w:r>
          </w:p>
        </w:tc>
        <w:tc>
          <w:tcPr>
            <w:tcW w:w="1671" w:type="pct"/>
            <w:vAlign w:val="center"/>
          </w:tcPr>
          <w:p w14:paraId="3E921106">
            <w:pPr>
              <w:pStyle w:val="20"/>
              <w:keepLines w:val="0"/>
              <w:widowControl w:val="0"/>
              <w:wordWrap/>
              <w:overflowPunct/>
              <w:topLinePunct w:val="0"/>
              <w:bidi w:val="0"/>
              <w:adjustRightInd w:val="0"/>
              <w:snapToGrid w:val="0"/>
              <w:spacing w:line="360" w:lineRule="auto"/>
              <w:rPr>
                <w:rFonts w:hint="eastAsia" w:ascii="宋体" w:hAnsi="宋体"/>
                <w:color w:val="auto"/>
              </w:rPr>
            </w:pPr>
            <w:r>
              <w:rPr>
                <w:rFonts w:hint="eastAsia" w:ascii="宋体" w:hAnsi="宋体"/>
                <w:color w:val="auto"/>
              </w:rPr>
              <w:t>≤</w:t>
            </w:r>
            <w:r>
              <w:rPr>
                <w:rFonts w:ascii="宋体" w:hAnsi="宋体"/>
                <w:color w:val="auto"/>
              </w:rPr>
              <w:t>50</w:t>
            </w:r>
          </w:p>
        </w:tc>
      </w:tr>
      <w:tr w14:paraId="52519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05E23C4">
            <w:pPr>
              <w:pStyle w:val="20"/>
              <w:keepLines w:val="0"/>
              <w:widowControl w:val="0"/>
              <w:wordWrap/>
              <w:overflowPunct/>
              <w:topLinePunct w:val="0"/>
              <w:bidi w:val="0"/>
              <w:adjustRightInd w:val="0"/>
              <w:snapToGrid w:val="0"/>
              <w:spacing w:line="360" w:lineRule="auto"/>
              <w:rPr>
                <w:rFonts w:hint="eastAsia" w:ascii="宋体" w:hAnsi="宋体"/>
                <w:color w:val="auto"/>
              </w:rPr>
            </w:pPr>
            <w:r>
              <w:rPr>
                <w:rFonts w:ascii="宋体" w:hAnsi="宋体"/>
                <w:color w:val="auto"/>
              </w:rPr>
              <w:t>二级</w:t>
            </w:r>
          </w:p>
        </w:tc>
        <w:tc>
          <w:tcPr>
            <w:tcW w:w="1667" w:type="pct"/>
            <w:vAlign w:val="center"/>
          </w:tcPr>
          <w:p w14:paraId="568ED91D">
            <w:pPr>
              <w:pStyle w:val="20"/>
              <w:keepLines w:val="0"/>
              <w:widowControl w:val="0"/>
              <w:wordWrap/>
              <w:overflowPunct/>
              <w:topLinePunct w:val="0"/>
              <w:bidi w:val="0"/>
              <w:adjustRightInd w:val="0"/>
              <w:snapToGrid w:val="0"/>
              <w:spacing w:line="360" w:lineRule="auto"/>
              <w:rPr>
                <w:rFonts w:hint="eastAsia" w:ascii="宋体" w:hAnsi="宋体"/>
                <w:color w:val="auto"/>
              </w:rPr>
            </w:pPr>
            <w:r>
              <w:rPr>
                <w:rFonts w:ascii="宋体" w:hAnsi="宋体"/>
                <w:color w:val="auto"/>
              </w:rPr>
              <w:t>90</w:t>
            </w:r>
            <w:r>
              <w:rPr>
                <w:rFonts w:hint="eastAsia" w:ascii="宋体" w:hAnsi="宋体"/>
                <w:color w:val="auto"/>
              </w:rPr>
              <w:t>＜</w:t>
            </w:r>
            <w:r>
              <w:rPr>
                <w:rFonts w:ascii="宋体" w:hAnsi="宋体"/>
                <w:color w:val="auto"/>
              </w:rPr>
              <w:t>V</w:t>
            </w:r>
            <w:r>
              <w:rPr>
                <w:rFonts w:hint="eastAsia" w:ascii="宋体" w:hAnsi="宋体"/>
                <w:color w:val="auto"/>
              </w:rPr>
              <w:t>≤</w:t>
            </w:r>
            <w:r>
              <w:rPr>
                <w:rFonts w:ascii="宋体" w:hAnsi="宋体"/>
                <w:color w:val="auto"/>
              </w:rPr>
              <w:t>150</w:t>
            </w:r>
          </w:p>
        </w:tc>
        <w:tc>
          <w:tcPr>
            <w:tcW w:w="1671" w:type="pct"/>
            <w:vAlign w:val="center"/>
          </w:tcPr>
          <w:p w14:paraId="412C0F3E">
            <w:pPr>
              <w:pStyle w:val="20"/>
              <w:keepLines w:val="0"/>
              <w:widowControl w:val="0"/>
              <w:wordWrap/>
              <w:overflowPunct/>
              <w:topLinePunct w:val="0"/>
              <w:bidi w:val="0"/>
              <w:adjustRightInd w:val="0"/>
              <w:snapToGrid w:val="0"/>
              <w:spacing w:line="360" w:lineRule="auto"/>
              <w:rPr>
                <w:rFonts w:hint="eastAsia" w:ascii="宋体" w:hAnsi="宋体"/>
                <w:color w:val="auto"/>
              </w:rPr>
            </w:pPr>
            <w:r>
              <w:rPr>
                <w:rFonts w:hint="eastAsia" w:ascii="宋体" w:hAnsi="宋体"/>
                <w:color w:val="auto"/>
              </w:rPr>
              <w:t>≤</w:t>
            </w:r>
            <w:r>
              <w:rPr>
                <w:rFonts w:ascii="宋体" w:hAnsi="宋体"/>
                <w:color w:val="auto"/>
              </w:rPr>
              <w:t>50</w:t>
            </w:r>
          </w:p>
        </w:tc>
      </w:tr>
      <w:tr w14:paraId="1DBAB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1E59A5C5">
            <w:pPr>
              <w:pStyle w:val="20"/>
              <w:keepLines w:val="0"/>
              <w:widowControl w:val="0"/>
              <w:wordWrap/>
              <w:overflowPunct/>
              <w:topLinePunct w:val="0"/>
              <w:bidi w:val="0"/>
              <w:adjustRightInd w:val="0"/>
              <w:snapToGrid w:val="0"/>
              <w:spacing w:line="360" w:lineRule="auto"/>
              <w:rPr>
                <w:rFonts w:hint="eastAsia" w:ascii="宋体" w:hAnsi="宋体"/>
                <w:color w:val="auto"/>
              </w:rPr>
            </w:pPr>
            <w:r>
              <w:rPr>
                <w:rFonts w:ascii="宋体" w:hAnsi="宋体"/>
                <w:color w:val="auto"/>
              </w:rPr>
              <w:t>三级</w:t>
            </w:r>
          </w:p>
        </w:tc>
        <w:tc>
          <w:tcPr>
            <w:tcW w:w="1667" w:type="pct"/>
            <w:vAlign w:val="center"/>
          </w:tcPr>
          <w:p w14:paraId="703945C3">
            <w:pPr>
              <w:pStyle w:val="20"/>
              <w:keepLines w:val="0"/>
              <w:widowControl w:val="0"/>
              <w:wordWrap/>
              <w:overflowPunct/>
              <w:topLinePunct w:val="0"/>
              <w:bidi w:val="0"/>
              <w:adjustRightInd w:val="0"/>
              <w:snapToGrid w:val="0"/>
              <w:spacing w:line="360" w:lineRule="auto"/>
              <w:rPr>
                <w:rFonts w:hint="eastAsia" w:ascii="宋体" w:hAnsi="宋体"/>
                <w:color w:val="auto"/>
              </w:rPr>
            </w:pPr>
            <w:r>
              <w:rPr>
                <w:rFonts w:ascii="宋体" w:hAnsi="宋体"/>
                <w:color w:val="auto"/>
              </w:rPr>
              <w:t>V</w:t>
            </w:r>
            <w:r>
              <w:rPr>
                <w:rFonts w:hint="eastAsia" w:ascii="宋体" w:hAnsi="宋体"/>
                <w:color w:val="auto"/>
              </w:rPr>
              <w:t>≤</w:t>
            </w:r>
            <w:r>
              <w:rPr>
                <w:rFonts w:ascii="宋体" w:hAnsi="宋体"/>
                <w:color w:val="auto"/>
              </w:rPr>
              <w:t>90</w:t>
            </w:r>
          </w:p>
        </w:tc>
        <w:tc>
          <w:tcPr>
            <w:tcW w:w="1671" w:type="pct"/>
            <w:vAlign w:val="center"/>
          </w:tcPr>
          <w:p w14:paraId="603649D1">
            <w:pPr>
              <w:pStyle w:val="20"/>
              <w:keepLines w:val="0"/>
              <w:widowControl w:val="0"/>
              <w:wordWrap/>
              <w:overflowPunct/>
              <w:topLinePunct w:val="0"/>
              <w:bidi w:val="0"/>
              <w:adjustRightInd w:val="0"/>
              <w:snapToGrid w:val="0"/>
              <w:spacing w:line="360" w:lineRule="auto"/>
              <w:rPr>
                <w:rFonts w:hint="eastAsia" w:ascii="宋体" w:hAnsi="宋体"/>
                <w:color w:val="auto"/>
              </w:rPr>
            </w:pPr>
            <w:r>
              <w:rPr>
                <w:rFonts w:hint="eastAsia" w:ascii="宋体" w:hAnsi="宋体"/>
                <w:color w:val="auto"/>
              </w:rPr>
              <w:t>汽油</w:t>
            </w:r>
            <w:r>
              <w:rPr>
                <w:rFonts w:ascii="宋体" w:hAnsi="宋体"/>
                <w:color w:val="auto"/>
              </w:rPr>
              <w:t>罐</w:t>
            </w:r>
            <w:r>
              <w:rPr>
                <w:rFonts w:hint="eastAsia" w:ascii="宋体" w:hAnsi="宋体"/>
                <w:color w:val="auto"/>
              </w:rPr>
              <w:t>≤</w:t>
            </w:r>
            <w:r>
              <w:rPr>
                <w:rFonts w:ascii="宋体" w:hAnsi="宋体"/>
                <w:color w:val="auto"/>
              </w:rPr>
              <w:t>30，柴油罐</w:t>
            </w:r>
            <w:r>
              <w:rPr>
                <w:rFonts w:hint="eastAsia" w:ascii="宋体" w:hAnsi="宋体"/>
                <w:color w:val="auto"/>
              </w:rPr>
              <w:t>≤</w:t>
            </w:r>
            <w:r>
              <w:rPr>
                <w:rFonts w:ascii="宋体" w:hAnsi="宋体"/>
                <w:color w:val="auto"/>
              </w:rPr>
              <w:t>50</w:t>
            </w:r>
          </w:p>
        </w:tc>
      </w:tr>
    </w:tbl>
    <w:p w14:paraId="1F8090D7">
      <w:pPr>
        <w:pStyle w:val="21"/>
        <w:keepLines w:val="0"/>
        <w:widowControl w:val="0"/>
        <w:wordWrap/>
        <w:overflowPunct/>
        <w:topLinePunct w:val="0"/>
        <w:bidi w:val="0"/>
        <w:adjustRightInd w:val="0"/>
        <w:snapToGrid w:val="0"/>
        <w:spacing w:line="360" w:lineRule="auto"/>
        <w:ind w:firstLine="436"/>
        <w:rPr>
          <w:rFonts w:hint="eastAsia" w:ascii="黑体" w:hAnsi="黑体" w:cs="黑体"/>
          <w:color w:val="auto"/>
        </w:rPr>
      </w:pPr>
      <w:r>
        <w:rPr>
          <w:rFonts w:hint="eastAsia" w:ascii="黑体" w:hAnsi="黑体" w:cs="黑体"/>
          <w:color w:val="auto"/>
        </w:rPr>
        <w:t>注：V为油罐总容积。柴油罐容积可折半计入油罐总容积。</w:t>
      </w:r>
    </w:p>
    <w:p w14:paraId="22415535">
      <w:pPr>
        <w:keepLines w:val="0"/>
        <w:wordWrap/>
        <w:overflowPunct/>
        <w:topLinePunct w:val="0"/>
        <w:bidi w:val="0"/>
        <w:adjustRightInd w:val="0"/>
        <w:snapToGrid w:val="0"/>
        <w:spacing w:line="360" w:lineRule="auto"/>
        <w:ind w:firstLine="560" w:firstLineChars="200"/>
        <w:rPr>
          <w:rFonts w:hint="eastAsia" w:ascii="宋体" w:hAnsi="宋体"/>
          <w:color w:val="auto"/>
          <w:sz w:val="28"/>
        </w:rPr>
      </w:pPr>
      <w:r>
        <w:rPr>
          <w:rFonts w:hint="eastAsia" w:ascii="宋体" w:hAnsi="宋体"/>
          <w:color w:val="auto"/>
          <w:sz w:val="28"/>
        </w:rPr>
        <w:t>该站现有职工4人，其中主要负责人1人，安全生产管理员1人。主要负责人和安全生产管理人员已参加了危险化学品安全管理培训，并取得考核合格证，详见附页。</w:t>
      </w:r>
    </w:p>
    <w:p w14:paraId="3F6EA892">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中国石化山东泰山石油股份有限公司于2006年4月8日与阴法国（鲁安加油站代表人）签订了鲁安加油站租赁经营合同，加油站用地所有者为肥城市王瓜店镇王东村，土地性质为村集体土地，经王东村民委员会同意，此合同为转租合同，租赁期限为20年，租赁期为2006年4月8日至2026年4月7日，详见附件。</w:t>
      </w:r>
    </w:p>
    <w:p w14:paraId="1345CC79">
      <w:pPr>
        <w:pStyle w:val="6"/>
        <w:keepLines w:val="0"/>
        <w:wordWrap/>
        <w:overflowPunct/>
        <w:topLinePunct w:val="0"/>
        <w:bidi w:val="0"/>
        <w:adjustRightInd w:val="0"/>
        <w:snapToGrid w:val="0"/>
        <w:spacing w:line="360" w:lineRule="auto"/>
        <w:ind w:firstLine="560"/>
        <w:rPr>
          <w:rFonts w:ascii="宋体"/>
          <w:color w:val="auto"/>
        </w:rPr>
      </w:pPr>
      <w:r>
        <w:rPr>
          <w:rFonts w:hint="eastAsia" w:ascii="宋体"/>
          <w:color w:val="auto"/>
        </w:rPr>
        <w:t>加油站于2000年5月17日取得了肥城市公安消防大队出具的</w:t>
      </w:r>
      <w:r>
        <w:rPr>
          <w:rFonts w:ascii="宋体"/>
          <w:color w:val="auto"/>
        </w:rPr>
        <w:t>《</w:t>
      </w:r>
      <w:r>
        <w:rPr>
          <w:rFonts w:hint="eastAsia" w:ascii="宋体"/>
          <w:color w:val="auto"/>
        </w:rPr>
        <w:t>建筑工程消防验收意见书》，证书编号：肥公消验字第003号，结论为“基本合格”，（加油站曾用名：肥城市鲁安汽车加油站）详见附件。</w:t>
      </w:r>
    </w:p>
    <w:p w14:paraId="77C1F2DA">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加油站于</w:t>
      </w:r>
      <w:r>
        <w:rPr>
          <w:rFonts w:ascii="宋体"/>
          <w:color w:val="auto"/>
        </w:rPr>
        <w:t>20</w:t>
      </w:r>
      <w:r>
        <w:rPr>
          <w:rFonts w:hint="eastAsia" w:ascii="宋体"/>
          <w:color w:val="auto"/>
        </w:rPr>
        <w:t>20</w:t>
      </w:r>
      <w:r>
        <w:rPr>
          <w:rFonts w:ascii="宋体"/>
          <w:color w:val="auto"/>
        </w:rPr>
        <w:t>年</w:t>
      </w:r>
      <w:r>
        <w:rPr>
          <w:rFonts w:hint="eastAsia" w:ascii="宋体"/>
          <w:color w:val="auto"/>
        </w:rPr>
        <w:t>12</w:t>
      </w:r>
      <w:r>
        <w:rPr>
          <w:rFonts w:ascii="宋体"/>
          <w:color w:val="auto"/>
        </w:rPr>
        <w:t>月</w:t>
      </w:r>
      <w:r>
        <w:rPr>
          <w:rFonts w:hint="eastAsia" w:ascii="宋体"/>
          <w:color w:val="auto"/>
        </w:rPr>
        <w:t>29</w:t>
      </w:r>
      <w:r>
        <w:rPr>
          <w:rFonts w:ascii="宋体"/>
          <w:color w:val="auto"/>
        </w:rPr>
        <w:t>日</w:t>
      </w:r>
      <w:r>
        <w:rPr>
          <w:rFonts w:hint="eastAsia" w:ascii="宋体"/>
          <w:color w:val="auto"/>
        </w:rPr>
        <w:t>换发了</w:t>
      </w:r>
      <w:r>
        <w:rPr>
          <w:rFonts w:ascii="宋体"/>
          <w:color w:val="auto"/>
        </w:rPr>
        <w:t>《成品油零售经营批准证书》，证书编号：</w:t>
      </w:r>
      <w:r>
        <w:rPr>
          <w:rFonts w:hint="eastAsia" w:ascii="宋体"/>
          <w:color w:val="auto"/>
        </w:rPr>
        <w:t>鲁油零售证书第3709061035</w:t>
      </w:r>
      <w:r>
        <w:rPr>
          <w:rFonts w:ascii="宋体"/>
          <w:color w:val="auto"/>
        </w:rPr>
        <w:t>号</w:t>
      </w:r>
      <w:r>
        <w:rPr>
          <w:rFonts w:hint="eastAsia" w:ascii="宋体"/>
          <w:color w:val="auto"/>
        </w:rPr>
        <w:t>，证书有效期至2025年12月29日，证书见附件</w:t>
      </w:r>
      <w:r>
        <w:rPr>
          <w:rFonts w:ascii="宋体"/>
          <w:color w:val="auto"/>
        </w:rPr>
        <w:t>。</w:t>
      </w:r>
    </w:p>
    <w:p w14:paraId="668E9E89">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加油站于</w:t>
      </w:r>
      <w:r>
        <w:rPr>
          <w:rFonts w:ascii="宋体"/>
          <w:color w:val="auto"/>
        </w:rPr>
        <w:t>20</w:t>
      </w:r>
      <w:r>
        <w:rPr>
          <w:rFonts w:hint="eastAsia" w:ascii="宋体"/>
          <w:color w:val="auto"/>
        </w:rPr>
        <w:t>22年1月04日换发了《危险化学品经营许可证》，证书编号：鲁泰危化经[2022]040017号，证书有效期至2025年1月03日，证书见附件。</w:t>
      </w:r>
    </w:p>
    <w:p w14:paraId="0864EC07">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该站编制了生产安全事故应急预案，于202</w:t>
      </w:r>
      <w:r>
        <w:rPr>
          <w:rFonts w:ascii="宋体"/>
          <w:color w:val="auto"/>
        </w:rPr>
        <w:t>3</w:t>
      </w:r>
      <w:r>
        <w:rPr>
          <w:rFonts w:hint="eastAsia" w:ascii="宋体"/>
          <w:color w:val="auto"/>
        </w:rPr>
        <w:t>年2月6日在泰安市应急管理局进行了备案，备案编号为：370900-2023-0108，详见附件。</w:t>
      </w:r>
    </w:p>
    <w:p w14:paraId="22BF7E7E">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山东天科防雷工程有限公司对该站进行了相关防雷设施的检测，出具了合格的《雷电防护装置定期检测报告》，报告编号：（1122016001）[2024]TAFC-0</w:t>
      </w:r>
      <w:r>
        <w:rPr>
          <w:rFonts w:hint="eastAsia" w:ascii="宋体"/>
          <w:color w:val="auto"/>
          <w:lang w:val="en-US" w:eastAsia="zh-CN"/>
        </w:rPr>
        <w:t>280</w:t>
      </w:r>
      <w:r>
        <w:rPr>
          <w:rFonts w:hint="eastAsia" w:ascii="宋体"/>
          <w:color w:val="auto"/>
        </w:rPr>
        <w:t>号，防雷类别：二类，结论为“合格：雷电防护装置符合现行国家防雷规范标准要求”，有效期2024年0</w:t>
      </w:r>
      <w:r>
        <w:rPr>
          <w:rFonts w:hint="eastAsia" w:ascii="宋体"/>
          <w:color w:val="auto"/>
          <w:lang w:val="en-US" w:eastAsia="zh-CN"/>
        </w:rPr>
        <w:t>9</w:t>
      </w:r>
      <w:r>
        <w:rPr>
          <w:rFonts w:hint="eastAsia" w:ascii="宋体"/>
          <w:color w:val="auto"/>
        </w:rPr>
        <w:t>月</w:t>
      </w:r>
      <w:r>
        <w:rPr>
          <w:rFonts w:hint="eastAsia" w:ascii="宋体"/>
          <w:color w:val="auto"/>
          <w:lang w:val="en-US" w:eastAsia="zh-CN"/>
        </w:rPr>
        <w:t>28</w:t>
      </w:r>
      <w:r>
        <w:rPr>
          <w:rFonts w:hint="eastAsia" w:ascii="宋体"/>
          <w:color w:val="auto"/>
        </w:rPr>
        <w:t>日至202</w:t>
      </w:r>
      <w:r>
        <w:rPr>
          <w:rFonts w:hint="eastAsia" w:ascii="宋体"/>
          <w:color w:val="auto"/>
          <w:lang w:val="en-US" w:eastAsia="zh-CN"/>
        </w:rPr>
        <w:t>5</w:t>
      </w:r>
      <w:r>
        <w:rPr>
          <w:rFonts w:hint="eastAsia" w:ascii="宋体"/>
          <w:color w:val="auto"/>
        </w:rPr>
        <w:t>年</w:t>
      </w:r>
      <w:r>
        <w:rPr>
          <w:rFonts w:hint="eastAsia" w:ascii="宋体"/>
          <w:color w:val="auto"/>
          <w:lang w:val="en-US" w:eastAsia="zh-CN"/>
        </w:rPr>
        <w:t>04</w:t>
      </w:r>
      <w:r>
        <w:rPr>
          <w:rFonts w:hint="eastAsia" w:ascii="宋体"/>
          <w:color w:val="auto"/>
        </w:rPr>
        <w:t>月0</w:t>
      </w:r>
      <w:r>
        <w:rPr>
          <w:rFonts w:hint="eastAsia" w:ascii="宋体"/>
          <w:color w:val="auto"/>
          <w:lang w:val="en-US" w:eastAsia="zh-CN"/>
        </w:rPr>
        <w:t>6</w:t>
      </w:r>
      <w:r>
        <w:rPr>
          <w:rFonts w:hint="eastAsia" w:ascii="宋体"/>
          <w:color w:val="auto"/>
        </w:rPr>
        <w:t>日，检测报告见附件。</w:t>
      </w:r>
    </w:p>
    <w:p w14:paraId="27647939">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加油站新安装两套可燃气体探测器，济南本安科技有限公司于2024年5月对可燃气体探测器出具检验报告，测试结果：合格。检验报告见附件。</w:t>
      </w:r>
    </w:p>
    <w:p w14:paraId="548B4431">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该站在中国人民财产保险股份有限公司济南分公司投保安全生产责任保险，保险期限2024年06月23日至2025年06月22日，详见附件。</w:t>
      </w:r>
    </w:p>
    <w:p w14:paraId="7DC3E663">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该站建立健全了安全生产责任制、安全生产规章制度和安全操作规程，执行情况较好。</w:t>
      </w:r>
    </w:p>
    <w:p w14:paraId="5F6A54F5">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该站各项安全管理制度健全，有生产经营单位生产事故应急预案，并定期进行应急救援演练。该加油站消防器材配备齐全，加油站配备了35kg推车式干粉灭火器2具，5kg手提式干粉灭火器10具，CO</w:t>
      </w:r>
      <w:r>
        <w:rPr>
          <w:rFonts w:hint="eastAsia" w:ascii="宋体"/>
          <w:color w:val="auto"/>
          <w:vertAlign w:val="subscript"/>
        </w:rPr>
        <w:t>2</w:t>
      </w:r>
      <w:r>
        <w:rPr>
          <w:rFonts w:hint="eastAsia" w:ascii="宋体"/>
          <w:color w:val="auto"/>
        </w:rPr>
        <w:t>灭火器4具，灭火毯6块，消防锨4把，消防桶2个，消防沙池2m</w:t>
      </w:r>
      <w:r>
        <w:rPr>
          <w:rFonts w:hint="eastAsia" w:ascii="宋体"/>
          <w:color w:val="auto"/>
          <w:vertAlign w:val="superscript"/>
        </w:rPr>
        <w:t>3</w:t>
      </w:r>
      <w:r>
        <w:rPr>
          <w:rFonts w:hint="eastAsia" w:ascii="宋体"/>
          <w:color w:val="auto"/>
        </w:rPr>
        <w:t>。</w:t>
      </w:r>
    </w:p>
    <w:p w14:paraId="43F93539">
      <w:pPr>
        <w:pStyle w:val="18"/>
        <w:keepLines w:val="0"/>
        <w:wordWrap/>
        <w:overflowPunct/>
        <w:topLinePunct w:val="0"/>
        <w:bidi w:val="0"/>
        <w:adjustRightInd w:val="0"/>
        <w:snapToGrid w:val="0"/>
        <w:spacing w:before="312" w:after="312" w:line="360" w:lineRule="auto"/>
        <w:rPr>
          <w:color w:val="auto"/>
        </w:rPr>
      </w:pPr>
      <w:bookmarkStart w:id="16" w:name="_Toc102633980"/>
      <w:bookmarkStart w:id="17" w:name="_Toc102634406"/>
      <w:bookmarkStart w:id="18" w:name="_Toc1454"/>
      <w:bookmarkStart w:id="19" w:name="_Toc102634255"/>
      <w:bookmarkStart w:id="20" w:name="_Toc102633906"/>
      <w:r>
        <w:rPr>
          <w:rFonts w:hint="eastAsia"/>
          <w:color w:val="auto"/>
        </w:rPr>
        <w:t>第四章 评价单元划分与评价方法选择</w:t>
      </w:r>
      <w:bookmarkEnd w:id="16"/>
      <w:bookmarkEnd w:id="17"/>
      <w:bookmarkEnd w:id="18"/>
      <w:bookmarkEnd w:id="19"/>
      <w:bookmarkEnd w:id="20"/>
    </w:p>
    <w:p w14:paraId="4A7B99C8">
      <w:pPr>
        <w:pStyle w:val="4"/>
        <w:keepLines w:val="0"/>
        <w:wordWrap/>
        <w:overflowPunct/>
        <w:topLinePunct w:val="0"/>
        <w:bidi w:val="0"/>
        <w:adjustRightInd w:val="0"/>
        <w:snapToGrid w:val="0"/>
        <w:spacing w:before="312" w:beforeLines="100" w:after="312" w:afterLines="100" w:line="360" w:lineRule="auto"/>
        <w:ind w:firstLine="0"/>
        <w:rPr>
          <w:color w:val="auto"/>
        </w:rPr>
      </w:pPr>
      <w:bookmarkStart w:id="21" w:name="_Toc192907201"/>
      <w:bookmarkStart w:id="22" w:name="_Toc15033754"/>
      <w:bookmarkStart w:id="23" w:name="_Toc102634407"/>
      <w:bookmarkStart w:id="24" w:name="_Toc102633981"/>
      <w:bookmarkStart w:id="25" w:name="_Toc7829"/>
      <w:bookmarkStart w:id="26" w:name="_Toc12643"/>
      <w:bookmarkStart w:id="27" w:name="_Toc23543"/>
      <w:bookmarkStart w:id="28" w:name="_Toc272364536"/>
      <w:bookmarkStart w:id="29" w:name="_Toc198026273"/>
      <w:bookmarkStart w:id="30" w:name="_Toc102634256"/>
      <w:bookmarkStart w:id="31" w:name="_Toc102633907"/>
      <w:bookmarkStart w:id="32" w:name="_Toc238007574"/>
      <w:r>
        <w:rPr>
          <w:rFonts w:hint="eastAsia"/>
          <w:color w:val="auto"/>
        </w:rPr>
        <w:t>第一节 评价单元的划分</w:t>
      </w:r>
      <w:bookmarkEnd w:id="21"/>
      <w:bookmarkEnd w:id="22"/>
      <w:bookmarkEnd w:id="23"/>
      <w:bookmarkEnd w:id="24"/>
      <w:bookmarkEnd w:id="25"/>
      <w:bookmarkEnd w:id="26"/>
      <w:bookmarkEnd w:id="27"/>
      <w:bookmarkEnd w:id="28"/>
      <w:bookmarkEnd w:id="29"/>
      <w:bookmarkEnd w:id="30"/>
      <w:bookmarkEnd w:id="31"/>
      <w:bookmarkEnd w:id="32"/>
    </w:p>
    <w:p w14:paraId="02C771D7">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3866F2F6">
      <w:pPr>
        <w:pStyle w:val="22"/>
        <w:keepLines w:val="0"/>
        <w:widowControl w:val="0"/>
        <w:wordWrap/>
        <w:overflowPunct/>
        <w:topLinePunct w:val="0"/>
        <w:bidi w:val="0"/>
        <w:adjustRightInd w:val="0"/>
        <w:snapToGrid w:val="0"/>
        <w:spacing w:line="360" w:lineRule="auto"/>
        <w:ind w:firstLine="560"/>
        <w:jc w:val="both"/>
        <w:rPr>
          <w:color w:val="auto"/>
        </w:rPr>
      </w:pPr>
      <w:bookmarkStart w:id="33" w:name="_Toc102634257"/>
      <w:r>
        <w:rPr>
          <w:rFonts w:hint="eastAsia"/>
          <w:color w:val="auto"/>
        </w:rPr>
        <w:t>一</w:t>
      </w:r>
      <w:r>
        <w:rPr>
          <w:color w:val="auto"/>
        </w:rPr>
        <w:t>、以危险有害因素的类别为主划分评价单元</w:t>
      </w:r>
      <w:bookmarkEnd w:id="33"/>
    </w:p>
    <w:p w14:paraId="6083A780">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1、</w:t>
      </w:r>
      <w:r>
        <w:rPr>
          <w:rFonts w:ascii="宋体"/>
          <w:color w:val="auto"/>
        </w:rPr>
        <w:t>对工艺方案、总体布置及自然条件、社会环境等影响系统的危险有害因素的分析和评价，宜将整个系统作为一个评价单元。</w:t>
      </w:r>
    </w:p>
    <w:p w14:paraId="35BDCC11">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2、</w:t>
      </w:r>
      <w:r>
        <w:rPr>
          <w:rFonts w:ascii="宋体"/>
          <w:color w:val="auto"/>
        </w:rPr>
        <w:t>将具有共性危险有害因素的场所和装置划分为一个评价单元。</w:t>
      </w:r>
    </w:p>
    <w:p w14:paraId="4D4A7799">
      <w:pPr>
        <w:pStyle w:val="22"/>
        <w:keepLines w:val="0"/>
        <w:widowControl w:val="0"/>
        <w:wordWrap/>
        <w:overflowPunct/>
        <w:topLinePunct w:val="0"/>
        <w:bidi w:val="0"/>
        <w:adjustRightInd w:val="0"/>
        <w:snapToGrid w:val="0"/>
        <w:spacing w:line="360" w:lineRule="auto"/>
        <w:ind w:firstLine="560"/>
        <w:jc w:val="both"/>
        <w:rPr>
          <w:color w:val="auto"/>
        </w:rPr>
      </w:pPr>
      <w:bookmarkStart w:id="34" w:name="_Toc102634258"/>
      <w:r>
        <w:rPr>
          <w:rFonts w:hint="eastAsia"/>
          <w:color w:val="auto"/>
        </w:rPr>
        <w:t>二</w:t>
      </w:r>
      <w:r>
        <w:rPr>
          <w:color w:val="auto"/>
        </w:rPr>
        <w:t>、以物质特征划分评价单元</w:t>
      </w:r>
      <w:bookmarkEnd w:id="34"/>
    </w:p>
    <w:p w14:paraId="3CDB171A">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评价过程中常按装置工艺功能、布置的相对独立性、工艺条件及贮存、处理危险物质的潜在化学能、毒性和危险物质的数量等划分评价单元。</w:t>
      </w:r>
    </w:p>
    <w:p w14:paraId="3C121736">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由于评价要求和目的不同，并且各类评价方法均有自身的特点，只要达到评价目的，评价单元的划分并不要求绝对一致。</w:t>
      </w:r>
    </w:p>
    <w:p w14:paraId="1D11597F">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根据上述常用的评价单元划分原则和方法，以及《安全评价通则》中关于安全评价报告主要内容和要求的规定结合该项目的特点和实际情况，将评价内容划分为以下</w:t>
      </w:r>
      <w:r>
        <w:rPr>
          <w:rFonts w:hint="eastAsia" w:ascii="宋体"/>
          <w:color w:val="auto"/>
        </w:rPr>
        <w:t>四</w:t>
      </w:r>
      <w:r>
        <w:rPr>
          <w:rFonts w:ascii="宋体"/>
          <w:color w:val="auto"/>
        </w:rPr>
        <w:t>个单元：</w:t>
      </w:r>
    </w:p>
    <w:p w14:paraId="3DA31FAC">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1、安全管理；</w:t>
      </w:r>
    </w:p>
    <w:p w14:paraId="3602EEB7">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2、站址选择及总</w:t>
      </w:r>
      <w:r>
        <w:rPr>
          <w:rFonts w:hint="eastAsia" w:ascii="宋体"/>
          <w:color w:val="auto"/>
        </w:rPr>
        <w:t>平面</w:t>
      </w:r>
      <w:r>
        <w:rPr>
          <w:rFonts w:ascii="宋体"/>
          <w:color w:val="auto"/>
        </w:rPr>
        <w:t>布置；</w:t>
      </w:r>
    </w:p>
    <w:p w14:paraId="298CA52B">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3、加油工艺及设施；</w:t>
      </w:r>
    </w:p>
    <w:p w14:paraId="13A92F6D">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4、其它安全设施</w:t>
      </w:r>
    </w:p>
    <w:p w14:paraId="5C8D230A">
      <w:pPr>
        <w:pStyle w:val="4"/>
        <w:keepLines w:val="0"/>
        <w:wordWrap/>
        <w:overflowPunct/>
        <w:topLinePunct w:val="0"/>
        <w:bidi w:val="0"/>
        <w:adjustRightInd w:val="0"/>
        <w:snapToGrid w:val="0"/>
        <w:spacing w:before="312" w:beforeLines="100" w:after="312" w:afterLines="100" w:line="360" w:lineRule="auto"/>
        <w:ind w:firstLine="0"/>
        <w:rPr>
          <w:color w:val="auto"/>
        </w:rPr>
      </w:pPr>
      <w:bookmarkStart w:id="35" w:name="_Toc102633982"/>
      <w:bookmarkStart w:id="36" w:name="_Toc102634408"/>
      <w:bookmarkStart w:id="37" w:name="_Toc22810"/>
      <w:bookmarkStart w:id="38" w:name="_Toc102633908"/>
      <w:bookmarkStart w:id="39" w:name="_Toc102634259"/>
      <w:r>
        <w:rPr>
          <w:rFonts w:hint="eastAsia"/>
          <w:color w:val="auto"/>
        </w:rPr>
        <w:t>第二节 评价方法的选择</w:t>
      </w:r>
      <w:bookmarkEnd w:id="35"/>
      <w:bookmarkEnd w:id="36"/>
      <w:bookmarkEnd w:id="37"/>
      <w:bookmarkEnd w:id="38"/>
      <w:bookmarkEnd w:id="39"/>
    </w:p>
    <w:p w14:paraId="2D862A8C">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在进行安全评价时，应该在认真分析并熟悉评价系统的前提下，选择安全评价方法。选择安全评价方法应遵循充分性、系统性、针对性和合理性的原则。</w:t>
      </w:r>
    </w:p>
    <w:p w14:paraId="0F1B16A0">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1D3FC2D5">
      <w:pPr>
        <w:pStyle w:val="17"/>
        <w:keepLines w:val="0"/>
        <w:widowControl w:val="0"/>
        <w:wordWrap/>
        <w:overflowPunct/>
        <w:topLinePunct w:val="0"/>
        <w:bidi w:val="0"/>
        <w:adjustRightInd w:val="0"/>
        <w:snapToGrid w:val="0"/>
        <w:spacing w:line="360" w:lineRule="auto"/>
        <w:ind w:firstLine="560"/>
        <w:rPr>
          <w:rFonts w:ascii="宋体"/>
          <w:color w:val="auto"/>
        </w:rPr>
      </w:pPr>
      <w:r>
        <w:rPr>
          <w:rFonts w:ascii="宋体"/>
          <w:color w:val="auto"/>
        </w:rPr>
        <w:t>根据本次安全评价的特点，结合</w:t>
      </w:r>
      <w:r>
        <w:rPr>
          <w:rFonts w:hint="eastAsia" w:ascii="宋体"/>
          <w:color w:val="auto"/>
        </w:rPr>
        <w:t>中国石化山东泰山石油股份有限公司肥城第二十二加油站</w:t>
      </w:r>
      <w:r>
        <w:rPr>
          <w:rFonts w:ascii="宋体"/>
          <w:color w:val="auto"/>
        </w:rPr>
        <w:t>的具体情况，选用安全检查表、事故树法及危险度评价法对加油站进行评价。具体应用如下表所示：</w:t>
      </w:r>
    </w:p>
    <w:p w14:paraId="32221C87">
      <w:pPr>
        <w:pStyle w:val="19"/>
        <w:keepLines w:val="0"/>
        <w:widowControl w:val="0"/>
        <w:wordWrap/>
        <w:overflowPunct/>
        <w:topLinePunct w:val="0"/>
        <w:bidi w:val="0"/>
        <w:adjustRightInd w:val="0"/>
        <w:snapToGrid w:val="0"/>
        <w:spacing w:line="360" w:lineRule="auto"/>
        <w:outlineLvl w:val="9"/>
        <w:rPr>
          <w:rFonts w:hint="eastAsia" w:ascii="黑体" w:hAnsi="黑体"/>
          <w:color w:val="auto"/>
        </w:rPr>
      </w:pPr>
      <w:r>
        <w:rPr>
          <w:rFonts w:ascii="黑体" w:hAnsi="黑体"/>
          <w:color w:val="auto"/>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1BD3E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61AD34E4">
            <w:pPr>
              <w:pStyle w:val="20"/>
              <w:keepLines w:val="0"/>
              <w:widowControl w:val="0"/>
              <w:wordWrap/>
              <w:overflowPunct/>
              <w:topLinePunct w:val="0"/>
              <w:bidi w:val="0"/>
              <w:adjustRightInd w:val="0"/>
              <w:snapToGrid w:val="0"/>
              <w:spacing w:line="360" w:lineRule="auto"/>
              <w:rPr>
                <w:rFonts w:ascii="宋体"/>
                <w:b/>
                <w:color w:val="auto"/>
                <w:lang w:val="en-GB"/>
              </w:rPr>
            </w:pPr>
            <w:r>
              <w:rPr>
                <w:rFonts w:ascii="宋体"/>
                <w:b/>
                <w:color w:val="auto"/>
                <w:lang w:val="en-GB"/>
              </w:rPr>
              <w:t>序号</w:t>
            </w:r>
          </w:p>
        </w:tc>
        <w:tc>
          <w:tcPr>
            <w:tcW w:w="1285" w:type="pct"/>
            <w:vMerge w:val="restart"/>
            <w:vAlign w:val="center"/>
          </w:tcPr>
          <w:p w14:paraId="4CD30477">
            <w:pPr>
              <w:pStyle w:val="20"/>
              <w:keepLines w:val="0"/>
              <w:widowControl w:val="0"/>
              <w:wordWrap/>
              <w:overflowPunct/>
              <w:topLinePunct w:val="0"/>
              <w:bidi w:val="0"/>
              <w:adjustRightInd w:val="0"/>
              <w:snapToGrid w:val="0"/>
              <w:spacing w:line="360" w:lineRule="auto"/>
              <w:rPr>
                <w:rFonts w:ascii="宋体"/>
                <w:b/>
                <w:color w:val="auto"/>
              </w:rPr>
            </w:pPr>
            <w:r>
              <w:rPr>
                <w:rFonts w:ascii="宋体"/>
                <w:b/>
                <w:bCs/>
                <w:color w:val="auto"/>
                <w:lang w:val="en-GB"/>
              </w:rPr>
              <w:t>评价单元</w:t>
            </w:r>
          </w:p>
        </w:tc>
        <w:tc>
          <w:tcPr>
            <w:tcW w:w="3339" w:type="pct"/>
            <w:gridSpan w:val="3"/>
            <w:vAlign w:val="center"/>
          </w:tcPr>
          <w:p w14:paraId="565F29D0">
            <w:pPr>
              <w:pStyle w:val="20"/>
              <w:keepLines w:val="0"/>
              <w:widowControl w:val="0"/>
              <w:wordWrap/>
              <w:overflowPunct/>
              <w:topLinePunct w:val="0"/>
              <w:bidi w:val="0"/>
              <w:adjustRightInd w:val="0"/>
              <w:snapToGrid w:val="0"/>
              <w:spacing w:line="360" w:lineRule="auto"/>
              <w:rPr>
                <w:rFonts w:ascii="宋体"/>
                <w:b/>
                <w:color w:val="auto"/>
              </w:rPr>
            </w:pPr>
            <w:r>
              <w:rPr>
                <w:rFonts w:ascii="宋体"/>
                <w:b/>
                <w:color w:val="auto"/>
                <w:lang w:val="en-GB"/>
              </w:rPr>
              <w:t>评价方法</w:t>
            </w:r>
          </w:p>
        </w:tc>
      </w:tr>
      <w:tr w14:paraId="1A136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2C9A9A2B">
            <w:pPr>
              <w:pStyle w:val="20"/>
              <w:keepLines w:val="0"/>
              <w:widowControl w:val="0"/>
              <w:wordWrap/>
              <w:overflowPunct/>
              <w:topLinePunct w:val="0"/>
              <w:bidi w:val="0"/>
              <w:adjustRightInd w:val="0"/>
              <w:snapToGrid w:val="0"/>
              <w:spacing w:line="360" w:lineRule="auto"/>
              <w:rPr>
                <w:rFonts w:ascii="宋体"/>
                <w:b/>
                <w:color w:val="auto"/>
                <w:lang w:val="en-GB"/>
              </w:rPr>
            </w:pPr>
          </w:p>
        </w:tc>
        <w:tc>
          <w:tcPr>
            <w:tcW w:w="1285" w:type="pct"/>
            <w:vMerge w:val="continue"/>
            <w:vAlign w:val="center"/>
          </w:tcPr>
          <w:p w14:paraId="42192D33">
            <w:pPr>
              <w:pStyle w:val="20"/>
              <w:keepLines w:val="0"/>
              <w:widowControl w:val="0"/>
              <w:wordWrap/>
              <w:overflowPunct/>
              <w:topLinePunct w:val="0"/>
              <w:bidi w:val="0"/>
              <w:adjustRightInd w:val="0"/>
              <w:snapToGrid w:val="0"/>
              <w:spacing w:line="360" w:lineRule="auto"/>
              <w:rPr>
                <w:rFonts w:ascii="宋体"/>
                <w:b/>
                <w:color w:val="auto"/>
              </w:rPr>
            </w:pPr>
          </w:p>
        </w:tc>
        <w:tc>
          <w:tcPr>
            <w:tcW w:w="1196" w:type="pct"/>
            <w:vAlign w:val="center"/>
          </w:tcPr>
          <w:p w14:paraId="5AE7E59A">
            <w:pPr>
              <w:pStyle w:val="20"/>
              <w:keepLines w:val="0"/>
              <w:widowControl w:val="0"/>
              <w:wordWrap/>
              <w:overflowPunct/>
              <w:topLinePunct w:val="0"/>
              <w:bidi w:val="0"/>
              <w:adjustRightInd w:val="0"/>
              <w:snapToGrid w:val="0"/>
              <w:spacing w:line="360" w:lineRule="auto"/>
              <w:rPr>
                <w:rFonts w:ascii="宋体"/>
                <w:b/>
                <w:color w:val="auto"/>
                <w:lang w:val="en-GB"/>
              </w:rPr>
            </w:pPr>
            <w:r>
              <w:rPr>
                <w:rFonts w:ascii="宋体"/>
                <w:b/>
                <w:color w:val="auto"/>
                <w:lang w:val="en-GB"/>
              </w:rPr>
              <w:t>安全检查表</w:t>
            </w:r>
          </w:p>
        </w:tc>
        <w:tc>
          <w:tcPr>
            <w:tcW w:w="1170" w:type="pct"/>
            <w:vAlign w:val="center"/>
          </w:tcPr>
          <w:p w14:paraId="0D602A40">
            <w:pPr>
              <w:pStyle w:val="20"/>
              <w:keepLines w:val="0"/>
              <w:widowControl w:val="0"/>
              <w:wordWrap/>
              <w:overflowPunct/>
              <w:topLinePunct w:val="0"/>
              <w:bidi w:val="0"/>
              <w:adjustRightInd w:val="0"/>
              <w:snapToGrid w:val="0"/>
              <w:spacing w:line="360" w:lineRule="auto"/>
              <w:rPr>
                <w:rFonts w:ascii="宋体"/>
                <w:b/>
                <w:color w:val="auto"/>
                <w:lang w:val="en-GB"/>
              </w:rPr>
            </w:pPr>
            <w:r>
              <w:rPr>
                <w:rFonts w:ascii="宋体"/>
                <w:b/>
                <w:color w:val="auto"/>
                <w:lang w:val="en-GB"/>
              </w:rPr>
              <w:t>危险度评价法</w:t>
            </w:r>
          </w:p>
        </w:tc>
        <w:tc>
          <w:tcPr>
            <w:tcW w:w="972" w:type="pct"/>
            <w:vAlign w:val="center"/>
          </w:tcPr>
          <w:p w14:paraId="3D41A2E8">
            <w:pPr>
              <w:pStyle w:val="20"/>
              <w:keepLines w:val="0"/>
              <w:widowControl w:val="0"/>
              <w:wordWrap/>
              <w:overflowPunct/>
              <w:topLinePunct w:val="0"/>
              <w:bidi w:val="0"/>
              <w:adjustRightInd w:val="0"/>
              <w:snapToGrid w:val="0"/>
              <w:spacing w:line="360" w:lineRule="auto"/>
              <w:rPr>
                <w:rFonts w:ascii="宋体"/>
                <w:b/>
                <w:color w:val="auto"/>
                <w:lang w:val="en-GB"/>
              </w:rPr>
            </w:pPr>
            <w:r>
              <w:rPr>
                <w:rFonts w:ascii="宋体"/>
                <w:b/>
                <w:color w:val="auto"/>
                <w:lang w:val="en-GB"/>
              </w:rPr>
              <w:t>事故树法</w:t>
            </w:r>
          </w:p>
        </w:tc>
      </w:tr>
      <w:tr w14:paraId="0BDE0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561CC8C">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1</w:t>
            </w:r>
          </w:p>
        </w:tc>
        <w:tc>
          <w:tcPr>
            <w:tcW w:w="1285" w:type="pct"/>
            <w:vAlign w:val="center"/>
          </w:tcPr>
          <w:p w14:paraId="43F10740">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安全管理单元</w:t>
            </w:r>
          </w:p>
        </w:tc>
        <w:tc>
          <w:tcPr>
            <w:tcW w:w="1196" w:type="pct"/>
            <w:vAlign w:val="center"/>
          </w:tcPr>
          <w:p w14:paraId="10B00DC6">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4D0D3182">
            <w:pPr>
              <w:pStyle w:val="20"/>
              <w:keepLines w:val="0"/>
              <w:widowControl w:val="0"/>
              <w:wordWrap/>
              <w:overflowPunct/>
              <w:topLinePunct w:val="0"/>
              <w:bidi w:val="0"/>
              <w:adjustRightInd w:val="0"/>
              <w:snapToGrid w:val="0"/>
              <w:spacing w:line="360" w:lineRule="auto"/>
              <w:rPr>
                <w:rFonts w:ascii="宋体"/>
                <w:color w:val="auto"/>
              </w:rPr>
            </w:pPr>
          </w:p>
        </w:tc>
        <w:tc>
          <w:tcPr>
            <w:tcW w:w="972" w:type="pct"/>
            <w:vAlign w:val="center"/>
          </w:tcPr>
          <w:p w14:paraId="0E311422">
            <w:pPr>
              <w:pStyle w:val="20"/>
              <w:keepLines w:val="0"/>
              <w:widowControl w:val="0"/>
              <w:wordWrap/>
              <w:overflowPunct/>
              <w:topLinePunct w:val="0"/>
              <w:bidi w:val="0"/>
              <w:adjustRightInd w:val="0"/>
              <w:snapToGrid w:val="0"/>
              <w:spacing w:line="360" w:lineRule="auto"/>
              <w:rPr>
                <w:rFonts w:ascii="宋体"/>
                <w:color w:val="auto"/>
              </w:rPr>
            </w:pPr>
          </w:p>
        </w:tc>
      </w:tr>
      <w:tr w14:paraId="53DDF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6114E98E">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2</w:t>
            </w:r>
          </w:p>
        </w:tc>
        <w:tc>
          <w:tcPr>
            <w:tcW w:w="1285" w:type="pct"/>
            <w:vAlign w:val="center"/>
          </w:tcPr>
          <w:p w14:paraId="7A50E837">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站址选择及总平面布置</w:t>
            </w:r>
          </w:p>
        </w:tc>
        <w:tc>
          <w:tcPr>
            <w:tcW w:w="1196" w:type="pct"/>
            <w:vAlign w:val="center"/>
          </w:tcPr>
          <w:p w14:paraId="0CE97AF2">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741E5E38">
            <w:pPr>
              <w:pStyle w:val="20"/>
              <w:keepLines w:val="0"/>
              <w:widowControl w:val="0"/>
              <w:wordWrap/>
              <w:overflowPunct/>
              <w:topLinePunct w:val="0"/>
              <w:bidi w:val="0"/>
              <w:adjustRightInd w:val="0"/>
              <w:snapToGrid w:val="0"/>
              <w:spacing w:line="360" w:lineRule="auto"/>
              <w:rPr>
                <w:rFonts w:ascii="宋体"/>
                <w:color w:val="auto"/>
              </w:rPr>
            </w:pPr>
          </w:p>
        </w:tc>
        <w:tc>
          <w:tcPr>
            <w:tcW w:w="972" w:type="pct"/>
            <w:vAlign w:val="center"/>
          </w:tcPr>
          <w:p w14:paraId="4C116F0C">
            <w:pPr>
              <w:pStyle w:val="20"/>
              <w:keepLines w:val="0"/>
              <w:widowControl w:val="0"/>
              <w:wordWrap/>
              <w:overflowPunct/>
              <w:topLinePunct w:val="0"/>
              <w:bidi w:val="0"/>
              <w:adjustRightInd w:val="0"/>
              <w:snapToGrid w:val="0"/>
              <w:spacing w:line="360" w:lineRule="auto"/>
              <w:rPr>
                <w:rFonts w:ascii="宋体"/>
                <w:color w:val="auto"/>
              </w:rPr>
            </w:pPr>
          </w:p>
        </w:tc>
      </w:tr>
      <w:tr w14:paraId="17A8E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665E2ED">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3</w:t>
            </w:r>
          </w:p>
        </w:tc>
        <w:tc>
          <w:tcPr>
            <w:tcW w:w="1285" w:type="pct"/>
            <w:vAlign w:val="center"/>
          </w:tcPr>
          <w:p w14:paraId="0DBF55EC">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加油工艺及设施</w:t>
            </w:r>
          </w:p>
        </w:tc>
        <w:tc>
          <w:tcPr>
            <w:tcW w:w="1196" w:type="pct"/>
            <w:vAlign w:val="center"/>
          </w:tcPr>
          <w:p w14:paraId="004FFE94">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17E61DF4">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972" w:type="pct"/>
            <w:vAlign w:val="center"/>
          </w:tcPr>
          <w:p w14:paraId="7217D73B">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r>
      <w:tr w14:paraId="719F5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459EC5E3">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4</w:t>
            </w:r>
          </w:p>
        </w:tc>
        <w:tc>
          <w:tcPr>
            <w:tcW w:w="1285" w:type="pct"/>
            <w:vAlign w:val="center"/>
          </w:tcPr>
          <w:p w14:paraId="771A810F">
            <w:pPr>
              <w:pStyle w:val="20"/>
              <w:keepLines w:val="0"/>
              <w:widowControl w:val="0"/>
              <w:wordWrap/>
              <w:overflowPunct/>
              <w:topLinePunct w:val="0"/>
              <w:bidi w:val="0"/>
              <w:adjustRightInd w:val="0"/>
              <w:snapToGrid w:val="0"/>
              <w:spacing w:line="360" w:lineRule="auto"/>
              <w:rPr>
                <w:rFonts w:ascii="宋体"/>
                <w:color w:val="auto"/>
                <w:lang w:val="en-GB"/>
              </w:rPr>
            </w:pPr>
            <w:r>
              <w:rPr>
                <w:rFonts w:ascii="宋体"/>
                <w:color w:val="auto"/>
                <w:lang w:val="en-GB"/>
              </w:rPr>
              <w:t>其它安全设施</w:t>
            </w:r>
          </w:p>
        </w:tc>
        <w:tc>
          <w:tcPr>
            <w:tcW w:w="1196" w:type="pct"/>
            <w:vAlign w:val="center"/>
          </w:tcPr>
          <w:p w14:paraId="4ED6165B">
            <w:pPr>
              <w:pStyle w:val="20"/>
              <w:keepLines w:val="0"/>
              <w:widowControl w:val="0"/>
              <w:wordWrap/>
              <w:overflowPunct/>
              <w:topLinePunct w:val="0"/>
              <w:bidi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06248F48">
            <w:pPr>
              <w:pStyle w:val="20"/>
              <w:keepLines w:val="0"/>
              <w:widowControl w:val="0"/>
              <w:wordWrap/>
              <w:overflowPunct/>
              <w:topLinePunct w:val="0"/>
              <w:bidi w:val="0"/>
              <w:adjustRightInd w:val="0"/>
              <w:snapToGrid w:val="0"/>
              <w:spacing w:line="360" w:lineRule="auto"/>
              <w:rPr>
                <w:rFonts w:ascii="宋体"/>
                <w:color w:val="auto"/>
              </w:rPr>
            </w:pPr>
          </w:p>
        </w:tc>
        <w:tc>
          <w:tcPr>
            <w:tcW w:w="972" w:type="pct"/>
            <w:vAlign w:val="center"/>
          </w:tcPr>
          <w:p w14:paraId="4399780D">
            <w:pPr>
              <w:pStyle w:val="20"/>
              <w:keepLines w:val="0"/>
              <w:widowControl w:val="0"/>
              <w:wordWrap/>
              <w:overflowPunct/>
              <w:topLinePunct w:val="0"/>
              <w:bidi w:val="0"/>
              <w:adjustRightInd w:val="0"/>
              <w:snapToGrid w:val="0"/>
              <w:spacing w:line="360" w:lineRule="auto"/>
              <w:rPr>
                <w:rFonts w:ascii="宋体"/>
                <w:color w:val="auto"/>
              </w:rPr>
            </w:pPr>
          </w:p>
        </w:tc>
      </w:tr>
    </w:tbl>
    <w:p w14:paraId="098E8940">
      <w:pPr>
        <w:pStyle w:val="17"/>
        <w:keepLines w:val="0"/>
        <w:widowControl w:val="0"/>
        <w:wordWrap/>
        <w:overflowPunct/>
        <w:topLinePunct w:val="0"/>
        <w:bidi w:val="0"/>
        <w:adjustRightInd w:val="0"/>
        <w:snapToGrid w:val="0"/>
        <w:spacing w:line="360" w:lineRule="auto"/>
        <w:ind w:firstLine="420"/>
        <w:rPr>
          <w:rFonts w:ascii="宋体"/>
          <w:color w:val="auto"/>
        </w:rPr>
      </w:pPr>
      <w:r>
        <w:rPr>
          <w:rFonts w:ascii="黑体" w:hAnsi="黑体" w:eastAsia="黑体"/>
          <w:color w:val="auto"/>
          <w:sz w:val="21"/>
          <w:szCs w:val="21"/>
          <w:u w:color="000000"/>
        </w:rPr>
        <w:t>注：表中“★”表示采用的评价方法。</w:t>
      </w:r>
    </w:p>
    <w:p w14:paraId="3C3402D7">
      <w:pPr>
        <w:pStyle w:val="21"/>
        <w:keepLines w:val="0"/>
        <w:widowControl w:val="0"/>
        <w:wordWrap/>
        <w:overflowPunct/>
        <w:topLinePunct w:val="0"/>
        <w:bidi w:val="0"/>
        <w:adjustRightInd w:val="0"/>
        <w:snapToGrid w:val="0"/>
        <w:spacing w:line="360" w:lineRule="auto"/>
        <w:ind w:firstLine="872" w:firstLineChars="400"/>
        <w:rPr>
          <w:color w:val="auto"/>
        </w:rPr>
      </w:pPr>
    </w:p>
    <w:p w14:paraId="1295AB3B">
      <w:pPr>
        <w:pStyle w:val="17"/>
        <w:widowControl w:val="0"/>
        <w:adjustRightInd w:val="0"/>
        <w:snapToGrid w:val="0"/>
        <w:spacing w:line="360" w:lineRule="auto"/>
        <w:ind w:firstLine="562"/>
        <w:rPr>
          <w:b/>
          <w:bCs/>
          <w:color w:val="auto"/>
        </w:rPr>
      </w:pPr>
    </w:p>
    <w:p w14:paraId="7A72F3CB">
      <w:pPr>
        <w:pStyle w:val="18"/>
        <w:keepLines w:val="0"/>
        <w:wordWrap/>
        <w:overflowPunct/>
        <w:topLinePunct w:val="0"/>
        <w:bidi w:val="0"/>
        <w:adjustRightInd w:val="0"/>
        <w:snapToGrid w:val="0"/>
        <w:spacing w:before="312" w:after="312" w:line="360" w:lineRule="auto"/>
        <w:rPr>
          <w:color w:val="auto"/>
        </w:rPr>
      </w:pPr>
      <w:bookmarkStart w:id="40" w:name="_Toc7871"/>
      <w:r>
        <w:rPr>
          <w:rFonts w:hint="eastAsia"/>
          <w:color w:val="auto"/>
        </w:rPr>
        <w:t>第六章  安全对策措施及建议</w:t>
      </w:r>
      <w:bookmarkEnd w:id="40"/>
    </w:p>
    <w:p w14:paraId="26FFA876">
      <w:pPr>
        <w:pStyle w:val="4"/>
        <w:keepLines w:val="0"/>
        <w:wordWrap/>
        <w:overflowPunct/>
        <w:topLinePunct w:val="0"/>
        <w:bidi w:val="0"/>
        <w:adjustRightInd w:val="0"/>
        <w:snapToGrid w:val="0"/>
        <w:spacing w:before="312" w:beforeLines="100" w:after="312" w:afterLines="100" w:line="360" w:lineRule="auto"/>
        <w:ind w:firstLine="0"/>
        <w:rPr>
          <w:color w:val="auto"/>
        </w:rPr>
      </w:pPr>
      <w:bookmarkStart w:id="41" w:name="_Toc225046264"/>
      <w:bookmarkStart w:id="42" w:name="_Toc339456079"/>
      <w:bookmarkStart w:id="43" w:name="_Toc4961"/>
      <w:bookmarkStart w:id="44" w:name="_Toc2607"/>
      <w:bookmarkStart w:id="45" w:name="_Toc15033762"/>
      <w:bookmarkStart w:id="46" w:name="_Toc102633915"/>
      <w:bookmarkStart w:id="47" w:name="_Toc242065302"/>
      <w:bookmarkStart w:id="48" w:name="_Toc348877039"/>
      <w:bookmarkStart w:id="49" w:name="_Toc102634277"/>
      <w:bookmarkStart w:id="50" w:name="_Toc102634415"/>
      <w:bookmarkStart w:id="51" w:name="_Toc102633989"/>
      <w:r>
        <w:rPr>
          <w:rFonts w:hint="eastAsia"/>
          <w:color w:val="auto"/>
        </w:rPr>
        <w:t xml:space="preserve">第一节 </w:t>
      </w:r>
      <w:bookmarkEnd w:id="41"/>
      <w:bookmarkEnd w:id="42"/>
      <w:r>
        <w:rPr>
          <w:rFonts w:hint="eastAsia"/>
          <w:color w:val="auto"/>
        </w:rPr>
        <w:t>存在的问题及整改建议</w:t>
      </w:r>
      <w:bookmarkEnd w:id="43"/>
      <w:bookmarkEnd w:id="44"/>
      <w:bookmarkEnd w:id="45"/>
      <w:bookmarkEnd w:id="46"/>
      <w:bookmarkEnd w:id="47"/>
      <w:bookmarkEnd w:id="48"/>
      <w:bookmarkEnd w:id="49"/>
      <w:bookmarkEnd w:id="50"/>
      <w:bookmarkEnd w:id="51"/>
    </w:p>
    <w:p w14:paraId="38EE7821">
      <w:pPr>
        <w:keepLines w:val="0"/>
        <w:tabs>
          <w:tab w:val="left" w:pos="698"/>
        </w:tabs>
        <w:wordWrap/>
        <w:overflowPunct/>
        <w:topLinePunct w:val="0"/>
        <w:bidi w:val="0"/>
        <w:adjustRightInd w:val="0"/>
        <w:snapToGrid w:val="0"/>
        <w:spacing w:line="360" w:lineRule="auto"/>
        <w:ind w:firstLine="560" w:firstLineChars="200"/>
        <w:jc w:val="left"/>
        <w:rPr>
          <w:rFonts w:ascii="宋体"/>
          <w:color w:val="auto"/>
          <w:kern w:val="0"/>
          <w:sz w:val="28"/>
          <w:szCs w:val="20"/>
        </w:rPr>
      </w:pPr>
      <w:bookmarkStart w:id="52" w:name="_Toc15033763"/>
      <w:bookmarkStart w:id="53" w:name="_Toc49590281"/>
      <w:r>
        <w:rPr>
          <w:rFonts w:ascii="宋体"/>
          <w:color w:val="auto"/>
          <w:kern w:val="0"/>
          <w:sz w:val="28"/>
          <w:szCs w:val="20"/>
        </w:rPr>
        <w:t>通过现场检查和审查有关资料</w:t>
      </w:r>
      <w:r>
        <w:rPr>
          <w:rFonts w:hint="eastAsia" w:ascii="宋体"/>
          <w:color w:val="auto"/>
          <w:kern w:val="0"/>
          <w:sz w:val="28"/>
          <w:szCs w:val="20"/>
        </w:rPr>
        <w:t>可以看出，</w:t>
      </w:r>
      <w:bookmarkEnd w:id="52"/>
      <w:bookmarkEnd w:id="53"/>
      <w:r>
        <w:rPr>
          <w:rFonts w:hint="eastAsia" w:ascii="宋体"/>
          <w:color w:val="auto"/>
          <w:kern w:val="0"/>
          <w:sz w:val="28"/>
          <w:szCs w:val="20"/>
        </w:rPr>
        <w:t>该加油站在安全管理、站址选择及总平面布置、加油工艺及设施、其它设施等方面符合有关法律、标准规范的要求。</w:t>
      </w:r>
    </w:p>
    <w:p w14:paraId="2F836BD9">
      <w:pPr>
        <w:keepLines w:val="0"/>
        <w:widowControl/>
        <w:wordWrap/>
        <w:overflowPunct/>
        <w:topLinePunct w:val="0"/>
        <w:bidi w:val="0"/>
        <w:adjustRightInd w:val="0"/>
        <w:snapToGrid w:val="0"/>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表6.1-1</w:t>
      </w:r>
      <w:r>
        <w:rPr>
          <w:rFonts w:hint="eastAsia" w:eastAsia="黑体"/>
          <w:color w:val="auto"/>
          <w:kern w:val="0"/>
          <w:sz w:val="24"/>
          <w:szCs w:val="24"/>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517D1F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5FCD1FD9">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hint="eastAsia" w:ascii="宋体" w:hAnsi="宋体"/>
                <w:b/>
                <w:bCs/>
                <w:color w:val="auto"/>
                <w:kern w:val="0"/>
                <w:position w:val="2"/>
                <w:u w:color="000000"/>
              </w:rPr>
            </w:pPr>
            <w:r>
              <w:rPr>
                <w:rFonts w:ascii="宋体" w:hAnsi="宋体"/>
                <w:b/>
                <w:bCs/>
                <w:color w:val="auto"/>
                <w:kern w:val="0"/>
                <w:position w:val="2"/>
                <w:u w:color="000000"/>
              </w:rPr>
              <w:t>序号</w:t>
            </w:r>
          </w:p>
        </w:tc>
        <w:tc>
          <w:tcPr>
            <w:tcW w:w="3845" w:type="dxa"/>
            <w:vAlign w:val="center"/>
          </w:tcPr>
          <w:p w14:paraId="5B4BB4A0">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hint="eastAsia" w:ascii="宋体" w:hAnsi="宋体"/>
                <w:b/>
                <w:bCs/>
                <w:color w:val="auto"/>
                <w:kern w:val="0"/>
                <w:position w:val="2"/>
                <w:u w:color="000000"/>
              </w:rPr>
            </w:pPr>
            <w:r>
              <w:rPr>
                <w:rFonts w:ascii="宋体" w:hAnsi="宋体"/>
                <w:b/>
                <w:bCs/>
                <w:color w:val="auto"/>
                <w:kern w:val="0"/>
                <w:position w:val="2"/>
                <w:u w:color="000000"/>
              </w:rPr>
              <w:t>企业存在的问题</w:t>
            </w:r>
          </w:p>
        </w:tc>
        <w:tc>
          <w:tcPr>
            <w:tcW w:w="4740" w:type="dxa"/>
            <w:vAlign w:val="center"/>
          </w:tcPr>
          <w:p w14:paraId="025D5471">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hint="eastAsia" w:ascii="宋体" w:hAnsi="宋体"/>
                <w:b/>
                <w:bCs/>
                <w:color w:val="auto"/>
                <w:kern w:val="0"/>
                <w:position w:val="2"/>
                <w:u w:color="000000"/>
              </w:rPr>
            </w:pPr>
            <w:r>
              <w:rPr>
                <w:rFonts w:ascii="宋体" w:hAnsi="宋体"/>
                <w:b/>
                <w:bCs/>
                <w:color w:val="auto"/>
                <w:kern w:val="0"/>
                <w:position w:val="2"/>
                <w:u w:color="000000"/>
              </w:rPr>
              <w:t>整改建议措施</w:t>
            </w:r>
          </w:p>
        </w:tc>
      </w:tr>
      <w:tr w14:paraId="79E075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8250743">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hint="eastAsia" w:ascii="宋体" w:hAnsi="宋体"/>
                <w:bCs/>
                <w:color w:val="auto"/>
                <w:kern w:val="0"/>
                <w:position w:val="2"/>
                <w:u w:color="000000"/>
              </w:rPr>
            </w:pPr>
            <w:r>
              <w:rPr>
                <w:rFonts w:hint="eastAsia" w:ascii="宋体" w:hAnsi="宋体"/>
                <w:bCs/>
                <w:color w:val="auto"/>
                <w:kern w:val="0"/>
                <w:position w:val="2"/>
                <w:u w:color="000000"/>
              </w:rPr>
              <w:t>1</w:t>
            </w:r>
          </w:p>
        </w:tc>
        <w:tc>
          <w:tcPr>
            <w:tcW w:w="3845" w:type="dxa"/>
            <w:shd w:val="clear" w:color="auto" w:fill="auto"/>
            <w:vAlign w:val="center"/>
          </w:tcPr>
          <w:p w14:paraId="4F946F7A">
            <w:pPr>
              <w:keepLines w:val="0"/>
              <w:wordWrap/>
              <w:overflowPunct/>
              <w:topLinePunct w:val="0"/>
              <w:bidi w:val="0"/>
              <w:adjustRightInd w:val="0"/>
              <w:snapToGrid w:val="0"/>
              <w:spacing w:line="360" w:lineRule="auto"/>
              <w:jc w:val="center"/>
              <w:rPr>
                <w:rFonts w:hint="eastAsia" w:ascii="宋体" w:hAnsi="宋体"/>
                <w:color w:val="auto"/>
              </w:rPr>
            </w:pPr>
            <w:r>
              <w:rPr>
                <w:rFonts w:hint="eastAsia" w:ascii="宋体" w:hAnsi="宋体" w:cs="宋体"/>
                <w:color w:val="auto"/>
              </w:rPr>
              <w:t>无</w:t>
            </w:r>
          </w:p>
        </w:tc>
        <w:tc>
          <w:tcPr>
            <w:tcW w:w="4740" w:type="dxa"/>
            <w:shd w:val="clear" w:color="auto" w:fill="auto"/>
            <w:vAlign w:val="center"/>
          </w:tcPr>
          <w:p w14:paraId="0C8588DE">
            <w:pPr>
              <w:keepLines w:val="0"/>
              <w:wordWrap/>
              <w:overflowPunct/>
              <w:topLinePunct w:val="0"/>
              <w:bidi w:val="0"/>
              <w:adjustRightInd w:val="0"/>
              <w:snapToGrid w:val="0"/>
              <w:spacing w:line="360" w:lineRule="auto"/>
              <w:jc w:val="center"/>
              <w:rPr>
                <w:rFonts w:hint="eastAsia" w:ascii="宋体" w:hAnsi="宋体"/>
                <w:color w:val="auto"/>
              </w:rPr>
            </w:pPr>
            <w:r>
              <w:rPr>
                <w:rFonts w:hint="eastAsia" w:ascii="宋体" w:hAnsi="宋体" w:cs="宋体"/>
                <w:color w:val="auto"/>
              </w:rPr>
              <w:t>无</w:t>
            </w:r>
          </w:p>
        </w:tc>
      </w:tr>
    </w:tbl>
    <w:p w14:paraId="330A9850">
      <w:pPr>
        <w:keepLines w:val="0"/>
        <w:tabs>
          <w:tab w:val="left" w:pos="698"/>
        </w:tabs>
        <w:wordWrap/>
        <w:overflowPunct/>
        <w:topLinePunct w:val="0"/>
        <w:bidi w:val="0"/>
        <w:adjustRightInd w:val="0"/>
        <w:snapToGrid w:val="0"/>
        <w:spacing w:line="360" w:lineRule="auto"/>
        <w:ind w:firstLine="560" w:firstLineChars="200"/>
        <w:jc w:val="left"/>
        <w:rPr>
          <w:rFonts w:ascii="宋体"/>
          <w:color w:val="auto"/>
          <w:kern w:val="0"/>
          <w:sz w:val="28"/>
          <w:szCs w:val="20"/>
        </w:rPr>
      </w:pPr>
      <w:r>
        <w:rPr>
          <w:rFonts w:hint="eastAsia" w:ascii="宋体"/>
          <w:color w:val="auto"/>
          <w:kern w:val="0"/>
          <w:sz w:val="28"/>
          <w:szCs w:val="20"/>
        </w:rPr>
        <w:t>该加油站在安全管理、站址选择及总平面布置、加油工艺及设施、其它设施等方面符合有关法律、标准规范的要求。</w:t>
      </w:r>
    </w:p>
    <w:p w14:paraId="3881F2BB">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6C49B637">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62E0445B">
      <w:pPr>
        <w:pStyle w:val="13"/>
        <w:keepLines w:val="0"/>
        <w:wordWrap/>
        <w:overflowPunct/>
        <w:topLinePunct w:val="0"/>
        <w:bidi w:val="0"/>
        <w:adjustRightInd w:val="0"/>
        <w:snapToGrid w:val="0"/>
        <w:spacing w:line="360" w:lineRule="auto"/>
        <w:rPr>
          <w:rFonts w:hint="eastAsia" w:ascii="黑体" w:hAnsi="黑体" w:eastAsia="黑体" w:cs="黑体"/>
          <w:color w:val="auto"/>
          <w:u w:color="000000"/>
        </w:rPr>
      </w:pPr>
    </w:p>
    <w:p w14:paraId="50AB31F2">
      <w:pPr>
        <w:pStyle w:val="13"/>
        <w:keepLines w:val="0"/>
        <w:wordWrap/>
        <w:overflowPunct/>
        <w:topLinePunct w:val="0"/>
        <w:bidi w:val="0"/>
        <w:adjustRightInd w:val="0"/>
        <w:snapToGrid w:val="0"/>
        <w:spacing w:line="360" w:lineRule="auto"/>
        <w:rPr>
          <w:rFonts w:hint="eastAsia" w:ascii="黑体" w:hAnsi="黑体" w:eastAsia="黑体" w:cs="黑体"/>
          <w:color w:val="auto"/>
          <w:u w:color="000000"/>
        </w:rPr>
      </w:pPr>
    </w:p>
    <w:p w14:paraId="52A7F76A">
      <w:pPr>
        <w:pStyle w:val="13"/>
        <w:keepLines w:val="0"/>
        <w:wordWrap/>
        <w:overflowPunct/>
        <w:topLinePunct w:val="0"/>
        <w:bidi w:val="0"/>
        <w:adjustRightInd w:val="0"/>
        <w:snapToGrid w:val="0"/>
        <w:spacing w:line="360" w:lineRule="auto"/>
        <w:rPr>
          <w:rFonts w:hint="eastAsia" w:ascii="黑体" w:hAnsi="黑体" w:eastAsia="黑体" w:cs="黑体"/>
          <w:color w:val="auto"/>
          <w:u w:color="000000"/>
        </w:rPr>
      </w:pPr>
    </w:p>
    <w:p w14:paraId="10CB89EF">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6B7742EE">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594F8BA3">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5BACCAB3">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0EE910BE">
      <w:pPr>
        <w:pStyle w:val="3"/>
        <w:keepLines w:val="0"/>
        <w:wordWrap/>
        <w:overflowPunct/>
        <w:topLinePunct w:val="0"/>
        <w:bidi w:val="0"/>
        <w:adjustRightInd w:val="0"/>
        <w:snapToGrid w:val="0"/>
        <w:spacing w:line="360" w:lineRule="auto"/>
        <w:ind w:firstLine="520"/>
        <w:rPr>
          <w:rFonts w:hint="eastAsia"/>
          <w:color w:val="auto"/>
        </w:rPr>
      </w:pPr>
    </w:p>
    <w:p w14:paraId="1E340917">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4D4D7672">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2FC5CB02">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5209CC2A">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5CEA4930">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23069FCA">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502CCAB2">
      <w:pPr>
        <w:pStyle w:val="4"/>
        <w:keepLines w:val="0"/>
        <w:wordWrap/>
        <w:overflowPunct/>
        <w:topLinePunct w:val="0"/>
        <w:bidi w:val="0"/>
        <w:adjustRightInd w:val="0"/>
        <w:snapToGrid w:val="0"/>
        <w:spacing w:before="312" w:beforeLines="100" w:after="312" w:afterLines="100" w:line="360" w:lineRule="auto"/>
        <w:ind w:firstLine="0"/>
        <w:rPr>
          <w:color w:val="auto"/>
        </w:rPr>
      </w:pPr>
      <w:r>
        <w:rPr>
          <w:rFonts w:hint="eastAsia"/>
          <w:color w:val="auto"/>
        </w:rPr>
        <w:t>第二节 整改复查情况表</w:t>
      </w:r>
    </w:p>
    <w:p w14:paraId="6168DEFC">
      <w:pPr>
        <w:keepLines w:val="0"/>
        <w:widowControl/>
        <w:wordWrap/>
        <w:overflowPunct/>
        <w:topLinePunct w:val="0"/>
        <w:bidi w:val="0"/>
        <w:adjustRightInd w:val="0"/>
        <w:snapToGrid w:val="0"/>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表6.2-1</w:t>
      </w:r>
      <w:r>
        <w:rPr>
          <w:rFonts w:hint="eastAsia" w:eastAsia="黑体"/>
          <w:color w:val="auto"/>
          <w:kern w:val="0"/>
          <w:sz w:val="24"/>
          <w:szCs w:val="24"/>
          <w:u w:color="000000"/>
        </w:rPr>
        <w:t xml:space="preserve">  存在问题整改复查情况表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7"/>
        <w:gridCol w:w="3409"/>
        <w:gridCol w:w="3717"/>
        <w:gridCol w:w="1525"/>
      </w:tblGrid>
      <w:tr w14:paraId="742CB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343" w:type="pct"/>
            <w:vAlign w:val="center"/>
          </w:tcPr>
          <w:p w14:paraId="0F3F5EF6">
            <w:pPr>
              <w:pStyle w:val="20"/>
              <w:keepLines w:val="0"/>
              <w:widowControl w:val="0"/>
              <w:wordWrap/>
              <w:overflowPunct/>
              <w:topLinePunct w:val="0"/>
              <w:bidi w:val="0"/>
              <w:adjustRightInd w:val="0"/>
              <w:snapToGrid w:val="0"/>
              <w:spacing w:line="360" w:lineRule="auto"/>
              <w:rPr>
                <w:rFonts w:hint="eastAsia" w:ascii="宋体" w:hAnsi="宋体"/>
                <w:b/>
                <w:bCs/>
                <w:color w:val="auto"/>
              </w:rPr>
            </w:pPr>
            <w:r>
              <w:rPr>
                <w:rFonts w:ascii="宋体" w:hAnsi="宋体"/>
                <w:b/>
                <w:bCs/>
                <w:color w:val="auto"/>
              </w:rPr>
              <w:t>序号</w:t>
            </w:r>
          </w:p>
        </w:tc>
        <w:tc>
          <w:tcPr>
            <w:tcW w:w="1835" w:type="pct"/>
            <w:vAlign w:val="center"/>
          </w:tcPr>
          <w:p w14:paraId="0D2ACF0C">
            <w:pPr>
              <w:pStyle w:val="20"/>
              <w:keepLines w:val="0"/>
              <w:widowControl w:val="0"/>
              <w:wordWrap/>
              <w:overflowPunct/>
              <w:topLinePunct w:val="0"/>
              <w:bidi w:val="0"/>
              <w:adjustRightInd w:val="0"/>
              <w:snapToGrid w:val="0"/>
              <w:spacing w:line="360" w:lineRule="auto"/>
              <w:rPr>
                <w:rFonts w:hint="eastAsia" w:ascii="宋体" w:hAnsi="宋体"/>
                <w:b/>
                <w:bCs/>
                <w:color w:val="auto"/>
              </w:rPr>
            </w:pPr>
            <w:r>
              <w:rPr>
                <w:rFonts w:ascii="宋体" w:hAnsi="宋体"/>
                <w:b/>
                <w:bCs/>
                <w:color w:val="auto"/>
              </w:rPr>
              <w:t>存在问题</w:t>
            </w:r>
          </w:p>
        </w:tc>
        <w:tc>
          <w:tcPr>
            <w:tcW w:w="2001" w:type="pct"/>
            <w:vAlign w:val="center"/>
          </w:tcPr>
          <w:p w14:paraId="3E55C45E">
            <w:pPr>
              <w:pStyle w:val="20"/>
              <w:keepLines w:val="0"/>
              <w:widowControl w:val="0"/>
              <w:wordWrap/>
              <w:overflowPunct/>
              <w:topLinePunct w:val="0"/>
              <w:bidi w:val="0"/>
              <w:adjustRightInd w:val="0"/>
              <w:snapToGrid w:val="0"/>
              <w:spacing w:line="360" w:lineRule="auto"/>
              <w:rPr>
                <w:rFonts w:hint="eastAsia" w:ascii="宋体" w:hAnsi="宋体"/>
                <w:b/>
                <w:bCs/>
                <w:color w:val="auto"/>
              </w:rPr>
            </w:pPr>
            <w:r>
              <w:rPr>
                <w:rFonts w:ascii="宋体" w:hAnsi="宋体"/>
                <w:b/>
                <w:bCs/>
                <w:color w:val="auto"/>
              </w:rPr>
              <w:t>整改措施</w:t>
            </w:r>
          </w:p>
        </w:tc>
        <w:tc>
          <w:tcPr>
            <w:tcW w:w="819" w:type="pct"/>
            <w:vAlign w:val="center"/>
          </w:tcPr>
          <w:p w14:paraId="7B5B2F26">
            <w:pPr>
              <w:pStyle w:val="20"/>
              <w:keepLines w:val="0"/>
              <w:widowControl w:val="0"/>
              <w:wordWrap/>
              <w:overflowPunct/>
              <w:topLinePunct w:val="0"/>
              <w:bidi w:val="0"/>
              <w:adjustRightInd w:val="0"/>
              <w:snapToGrid w:val="0"/>
              <w:spacing w:line="360" w:lineRule="auto"/>
              <w:rPr>
                <w:rFonts w:hint="eastAsia" w:ascii="宋体" w:hAnsi="宋体"/>
                <w:b/>
                <w:bCs/>
                <w:color w:val="auto"/>
              </w:rPr>
            </w:pPr>
            <w:r>
              <w:rPr>
                <w:rFonts w:ascii="宋体" w:hAnsi="宋体"/>
                <w:b/>
                <w:bCs/>
                <w:color w:val="auto"/>
              </w:rPr>
              <w:t>复查情况</w:t>
            </w:r>
          </w:p>
        </w:tc>
      </w:tr>
      <w:tr w14:paraId="2EAF8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343" w:type="pct"/>
            <w:vAlign w:val="center"/>
          </w:tcPr>
          <w:p w14:paraId="73B4394D">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hint="eastAsia" w:ascii="宋体" w:hAnsi="宋体"/>
                <w:bCs/>
                <w:color w:val="auto"/>
                <w:kern w:val="0"/>
                <w:position w:val="2"/>
                <w:u w:color="000000"/>
              </w:rPr>
            </w:pPr>
            <w:r>
              <w:rPr>
                <w:rFonts w:hint="eastAsia" w:ascii="宋体" w:hAnsi="宋体"/>
                <w:bCs/>
                <w:color w:val="auto"/>
                <w:kern w:val="0"/>
                <w:position w:val="2"/>
                <w:u w:color="000000"/>
              </w:rPr>
              <w:t>1</w:t>
            </w:r>
          </w:p>
        </w:tc>
        <w:tc>
          <w:tcPr>
            <w:tcW w:w="3513" w:type="dxa"/>
            <w:vAlign w:val="center"/>
          </w:tcPr>
          <w:p w14:paraId="640725B3">
            <w:pPr>
              <w:keepLines w:val="0"/>
              <w:wordWrap/>
              <w:overflowPunct/>
              <w:topLinePunct w:val="0"/>
              <w:bidi w:val="0"/>
              <w:adjustRightInd w:val="0"/>
              <w:snapToGrid w:val="0"/>
              <w:spacing w:line="360" w:lineRule="auto"/>
              <w:jc w:val="center"/>
              <w:rPr>
                <w:rFonts w:hint="eastAsia" w:ascii="宋体" w:hAnsi="宋体"/>
                <w:color w:val="auto"/>
                <w:kern w:val="0"/>
                <w:u w:color="000000"/>
              </w:rPr>
            </w:pPr>
            <w:r>
              <w:rPr>
                <w:rFonts w:hint="eastAsia" w:ascii="宋体" w:hAnsi="宋体" w:cs="宋体"/>
                <w:color w:val="auto"/>
              </w:rPr>
              <w:t>无</w:t>
            </w:r>
          </w:p>
        </w:tc>
        <w:tc>
          <w:tcPr>
            <w:tcW w:w="3830" w:type="dxa"/>
            <w:vAlign w:val="center"/>
          </w:tcPr>
          <w:p w14:paraId="013E1F12">
            <w:pPr>
              <w:keepLines w:val="0"/>
              <w:wordWrap/>
              <w:overflowPunct/>
              <w:topLinePunct w:val="0"/>
              <w:bidi w:val="0"/>
              <w:adjustRightInd w:val="0"/>
              <w:snapToGrid w:val="0"/>
              <w:spacing w:line="360" w:lineRule="auto"/>
              <w:jc w:val="center"/>
              <w:rPr>
                <w:rFonts w:hint="eastAsia" w:ascii="宋体" w:hAnsi="宋体"/>
                <w:color w:val="auto"/>
                <w:kern w:val="0"/>
                <w:u w:color="000000"/>
              </w:rPr>
            </w:pPr>
            <w:r>
              <w:rPr>
                <w:rFonts w:hint="eastAsia" w:ascii="宋体" w:hAnsi="宋体" w:cs="宋体"/>
                <w:color w:val="auto"/>
              </w:rPr>
              <w:t>无</w:t>
            </w:r>
          </w:p>
        </w:tc>
        <w:tc>
          <w:tcPr>
            <w:tcW w:w="819" w:type="pct"/>
            <w:vAlign w:val="center"/>
          </w:tcPr>
          <w:p w14:paraId="473A9D40">
            <w:pPr>
              <w:keepLines w:val="0"/>
              <w:wordWrap/>
              <w:overflowPunct/>
              <w:topLinePunct w:val="0"/>
              <w:bidi w:val="0"/>
              <w:adjustRightInd w:val="0"/>
              <w:snapToGrid w:val="0"/>
              <w:spacing w:line="360" w:lineRule="auto"/>
              <w:jc w:val="center"/>
              <w:rPr>
                <w:rFonts w:hint="eastAsia" w:ascii="宋体" w:hAnsi="宋体" w:cs="宋体"/>
                <w:bCs/>
                <w:color w:val="auto"/>
              </w:rPr>
            </w:pPr>
            <w:r>
              <w:rPr>
                <w:rFonts w:hint="eastAsia" w:ascii="宋体" w:hAnsi="宋体" w:cs="宋体"/>
                <w:bCs/>
                <w:color w:val="auto"/>
              </w:rPr>
              <w:t>已整改</w:t>
            </w:r>
          </w:p>
        </w:tc>
      </w:tr>
      <w:tr w14:paraId="123362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5" w:hRule="atLeast"/>
          <w:jc w:val="center"/>
        </w:trPr>
        <w:tc>
          <w:tcPr>
            <w:tcW w:w="5000" w:type="pct"/>
            <w:gridSpan w:val="4"/>
            <w:vAlign w:val="center"/>
          </w:tcPr>
          <w:p w14:paraId="1E784FA6">
            <w:pPr>
              <w:pStyle w:val="17"/>
              <w:keepLines w:val="0"/>
              <w:widowControl w:val="0"/>
              <w:wordWrap/>
              <w:overflowPunct/>
              <w:topLinePunct w:val="0"/>
              <w:bidi w:val="0"/>
              <w:adjustRightInd w:val="0"/>
              <w:snapToGrid w:val="0"/>
              <w:spacing w:line="360" w:lineRule="auto"/>
              <w:ind w:firstLine="420"/>
              <w:jc w:val="left"/>
              <w:rPr>
                <w:rFonts w:hint="eastAsia" w:ascii="宋体" w:hAnsi="宋体" w:cs="宋体"/>
                <w:color w:val="auto"/>
                <w:kern w:val="2"/>
                <w:szCs w:val="22"/>
              </w:rPr>
            </w:pPr>
            <w:r>
              <w:rPr>
                <w:rFonts w:hint="eastAsia" w:ascii="宋体" w:hAnsi="宋体" w:cs="宋体"/>
                <w:color w:val="auto"/>
                <w:kern w:val="2"/>
                <w:sz w:val="21"/>
                <w:szCs w:val="21"/>
              </w:rPr>
              <w:t>经复查，被评价单位尚有A项（0）项不符合，B项（0）项不符合。符合相关法律法规、标准规范的要求，该加油站现有风险程度可以接受。</w:t>
            </w:r>
          </w:p>
          <w:p w14:paraId="08944510">
            <w:pPr>
              <w:pStyle w:val="23"/>
              <w:keepLines w:val="0"/>
              <w:wordWrap/>
              <w:overflowPunct/>
              <w:topLinePunct w:val="0"/>
              <w:bidi w:val="0"/>
              <w:adjustRightInd w:val="0"/>
              <w:snapToGrid w:val="0"/>
              <w:spacing w:line="360" w:lineRule="auto"/>
              <w:rPr>
                <w:rFonts w:hint="eastAsia" w:ascii="宋体" w:hAnsi="宋体" w:cs="宋体"/>
                <w:color w:val="auto"/>
              </w:rPr>
            </w:pPr>
          </w:p>
          <w:p w14:paraId="3B2A1B4E">
            <w:pPr>
              <w:pStyle w:val="17"/>
              <w:keepLines w:val="0"/>
              <w:widowControl w:val="0"/>
              <w:wordWrap/>
              <w:overflowPunct/>
              <w:topLinePunct w:val="0"/>
              <w:bidi w:val="0"/>
              <w:adjustRightInd w:val="0"/>
              <w:snapToGrid w:val="0"/>
              <w:spacing w:line="360" w:lineRule="auto"/>
              <w:ind w:firstLine="199" w:firstLineChars="95"/>
              <w:rPr>
                <w:rFonts w:hint="eastAsia" w:ascii="宋体" w:hAnsi="宋体" w:cs="宋体"/>
                <w:color w:val="auto"/>
                <w:kern w:val="2"/>
                <w:sz w:val="21"/>
                <w:szCs w:val="21"/>
              </w:rPr>
            </w:pPr>
            <w:r>
              <w:rPr>
                <w:rFonts w:hint="eastAsia" w:ascii="宋体" w:hAnsi="宋体" w:cs="宋体"/>
                <w:color w:val="auto"/>
                <w:kern w:val="2"/>
                <w:sz w:val="21"/>
                <w:szCs w:val="21"/>
              </w:rPr>
              <w:t>评价单位检查人员（签字）：</w:t>
            </w:r>
          </w:p>
          <w:p w14:paraId="5966446B">
            <w:pPr>
              <w:pStyle w:val="23"/>
              <w:keepLines w:val="0"/>
              <w:wordWrap/>
              <w:overflowPunct/>
              <w:topLinePunct w:val="0"/>
              <w:bidi w:val="0"/>
              <w:adjustRightInd w:val="0"/>
              <w:snapToGrid w:val="0"/>
              <w:spacing w:line="360" w:lineRule="auto"/>
              <w:rPr>
                <w:rFonts w:hint="eastAsia" w:ascii="宋体" w:hAnsi="宋体" w:cs="宋体"/>
                <w:color w:val="auto"/>
              </w:rPr>
            </w:pPr>
          </w:p>
          <w:p w14:paraId="435BA8D8">
            <w:pPr>
              <w:pStyle w:val="23"/>
              <w:keepLines w:val="0"/>
              <w:wordWrap/>
              <w:overflowPunct/>
              <w:topLinePunct w:val="0"/>
              <w:bidi w:val="0"/>
              <w:adjustRightInd w:val="0"/>
              <w:snapToGrid w:val="0"/>
              <w:spacing w:line="360" w:lineRule="auto"/>
              <w:rPr>
                <w:rFonts w:hint="eastAsia" w:ascii="宋体" w:hAnsi="宋体" w:cs="宋体"/>
                <w:color w:val="auto"/>
              </w:rPr>
            </w:pPr>
          </w:p>
          <w:p w14:paraId="2E69367E">
            <w:pPr>
              <w:pStyle w:val="23"/>
              <w:keepLines w:val="0"/>
              <w:wordWrap/>
              <w:overflowPunct/>
              <w:topLinePunct w:val="0"/>
              <w:bidi w:val="0"/>
              <w:adjustRightInd w:val="0"/>
              <w:snapToGrid w:val="0"/>
              <w:spacing w:line="360" w:lineRule="auto"/>
              <w:rPr>
                <w:rFonts w:hint="eastAsia" w:ascii="宋体" w:hAnsi="宋体" w:cs="宋体"/>
                <w:color w:val="auto"/>
              </w:rPr>
            </w:pPr>
          </w:p>
          <w:p w14:paraId="155C5951">
            <w:pPr>
              <w:pStyle w:val="23"/>
              <w:keepLines w:val="0"/>
              <w:wordWrap/>
              <w:overflowPunct/>
              <w:topLinePunct w:val="0"/>
              <w:bidi w:val="0"/>
              <w:adjustRightInd w:val="0"/>
              <w:snapToGrid w:val="0"/>
              <w:spacing w:line="360" w:lineRule="auto"/>
              <w:rPr>
                <w:rFonts w:hint="eastAsia" w:ascii="宋体" w:hAnsi="宋体" w:cs="宋体"/>
                <w:color w:val="auto"/>
              </w:rPr>
            </w:pPr>
          </w:p>
          <w:p w14:paraId="12DB2E3A">
            <w:pPr>
              <w:pStyle w:val="17"/>
              <w:keepLines w:val="0"/>
              <w:widowControl w:val="0"/>
              <w:wordWrap/>
              <w:overflowPunct/>
              <w:topLinePunct w:val="0"/>
              <w:bidi w:val="0"/>
              <w:adjustRightInd w:val="0"/>
              <w:snapToGrid w:val="0"/>
              <w:spacing w:line="360" w:lineRule="auto"/>
              <w:ind w:firstLine="0" w:firstLineChars="0"/>
              <w:jc w:val="center"/>
              <w:rPr>
                <w:rFonts w:hint="eastAsia" w:ascii="宋体" w:hAnsi="宋体" w:cs="宋体"/>
                <w:color w:val="auto"/>
                <w:kern w:val="2"/>
                <w:sz w:val="21"/>
                <w:szCs w:val="21"/>
              </w:rPr>
            </w:pPr>
            <w:r>
              <w:rPr>
                <w:rFonts w:hint="eastAsia" w:ascii="宋体" w:hAnsi="宋体" w:cs="宋体"/>
                <w:color w:val="auto"/>
                <w:kern w:val="2"/>
                <w:sz w:val="21"/>
                <w:szCs w:val="21"/>
              </w:rPr>
              <w:t xml:space="preserve">                                                           年    月    日 </w:t>
            </w:r>
          </w:p>
          <w:p w14:paraId="7D892A94">
            <w:pPr>
              <w:pStyle w:val="17"/>
              <w:keepLines w:val="0"/>
              <w:widowControl w:val="0"/>
              <w:wordWrap/>
              <w:overflowPunct/>
              <w:topLinePunct w:val="0"/>
              <w:bidi w:val="0"/>
              <w:adjustRightInd w:val="0"/>
              <w:snapToGrid w:val="0"/>
              <w:spacing w:line="360" w:lineRule="auto"/>
              <w:ind w:firstLine="0" w:firstLineChars="0"/>
              <w:jc w:val="center"/>
              <w:rPr>
                <w:rFonts w:hint="eastAsia" w:ascii="宋体" w:hAnsi="宋体" w:cs="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（单位盖章）</w:t>
            </w:r>
            <w:r>
              <w:rPr>
                <w:rFonts w:hint="eastAsia" w:ascii="宋体" w:hAnsi="宋体" w:cs="宋体"/>
                <w:color w:val="auto"/>
                <w:kern w:val="2"/>
                <w:sz w:val="21"/>
                <w:szCs w:val="21"/>
              </w:rPr>
              <w:t xml:space="preserve">                                                        </w:t>
            </w:r>
          </w:p>
        </w:tc>
      </w:tr>
      <w:tr w14:paraId="57B50D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85" w:hRule="atLeast"/>
          <w:jc w:val="center"/>
        </w:trPr>
        <w:tc>
          <w:tcPr>
            <w:tcW w:w="5000" w:type="pct"/>
            <w:gridSpan w:val="4"/>
          </w:tcPr>
          <w:p w14:paraId="58644565">
            <w:pPr>
              <w:pStyle w:val="23"/>
              <w:keepLines w:val="0"/>
              <w:wordWrap/>
              <w:overflowPunct/>
              <w:topLinePunct w:val="0"/>
              <w:bidi w:val="0"/>
              <w:adjustRightInd w:val="0"/>
              <w:snapToGrid w:val="0"/>
              <w:spacing w:line="360" w:lineRule="auto"/>
              <w:rPr>
                <w:rFonts w:hint="eastAsia" w:ascii="宋体" w:hAnsi="宋体"/>
                <w:color w:val="auto"/>
              </w:rPr>
            </w:pPr>
          </w:p>
          <w:p w14:paraId="19C72BBB">
            <w:pPr>
              <w:pStyle w:val="17"/>
              <w:keepLines w:val="0"/>
              <w:widowControl w:val="0"/>
              <w:wordWrap/>
              <w:overflowPunct/>
              <w:topLinePunct w:val="0"/>
              <w:bidi w:val="0"/>
              <w:adjustRightInd w:val="0"/>
              <w:snapToGrid w:val="0"/>
              <w:spacing w:line="360" w:lineRule="auto"/>
              <w:ind w:firstLine="199" w:firstLineChars="95"/>
              <w:rPr>
                <w:rFonts w:hint="eastAsia" w:ascii="宋体" w:hAnsi="宋体"/>
                <w:color w:val="auto"/>
                <w:kern w:val="2"/>
                <w:sz w:val="21"/>
                <w:szCs w:val="21"/>
              </w:rPr>
            </w:pPr>
            <w:r>
              <w:rPr>
                <w:rFonts w:ascii="宋体" w:hAnsi="宋体"/>
                <w:color w:val="auto"/>
                <w:kern w:val="2"/>
                <w:sz w:val="21"/>
                <w:szCs w:val="21"/>
              </w:rPr>
              <w:t>被评价单位主要负责人确认（签字）：</w:t>
            </w:r>
          </w:p>
          <w:p w14:paraId="08E557F7">
            <w:pPr>
              <w:pStyle w:val="17"/>
              <w:keepLines w:val="0"/>
              <w:widowControl w:val="0"/>
              <w:wordWrap/>
              <w:overflowPunct/>
              <w:topLinePunct w:val="0"/>
              <w:bidi w:val="0"/>
              <w:adjustRightInd w:val="0"/>
              <w:snapToGrid w:val="0"/>
              <w:spacing w:line="360" w:lineRule="auto"/>
              <w:ind w:firstLine="0" w:firstLineChars="0"/>
              <w:jc w:val="center"/>
              <w:rPr>
                <w:rFonts w:hint="eastAsia" w:ascii="宋体" w:hAnsi="宋体"/>
                <w:color w:val="auto"/>
                <w:kern w:val="2"/>
                <w:sz w:val="21"/>
                <w:szCs w:val="21"/>
              </w:rPr>
            </w:pPr>
          </w:p>
          <w:p w14:paraId="616C4697">
            <w:pPr>
              <w:pStyle w:val="17"/>
              <w:keepLines w:val="0"/>
              <w:widowControl w:val="0"/>
              <w:wordWrap/>
              <w:overflowPunct/>
              <w:topLinePunct w:val="0"/>
              <w:bidi w:val="0"/>
              <w:adjustRightInd w:val="0"/>
              <w:snapToGrid w:val="0"/>
              <w:spacing w:line="360" w:lineRule="auto"/>
              <w:ind w:firstLine="0" w:firstLineChars="0"/>
              <w:jc w:val="center"/>
              <w:rPr>
                <w:rFonts w:hint="eastAsia" w:ascii="宋体" w:hAnsi="宋体"/>
                <w:color w:val="auto"/>
                <w:kern w:val="2"/>
                <w:sz w:val="21"/>
                <w:szCs w:val="21"/>
              </w:rPr>
            </w:pPr>
          </w:p>
          <w:p w14:paraId="11DD00F9">
            <w:pPr>
              <w:pStyle w:val="17"/>
              <w:keepLines w:val="0"/>
              <w:widowControl w:val="0"/>
              <w:wordWrap/>
              <w:overflowPunct/>
              <w:topLinePunct w:val="0"/>
              <w:bidi w:val="0"/>
              <w:adjustRightInd w:val="0"/>
              <w:snapToGrid w:val="0"/>
              <w:spacing w:line="360" w:lineRule="auto"/>
              <w:ind w:firstLine="0" w:firstLineChars="0"/>
              <w:jc w:val="center"/>
              <w:rPr>
                <w:rFonts w:hint="eastAsia" w:ascii="宋体" w:hAnsi="宋体"/>
                <w:color w:val="auto"/>
                <w:kern w:val="2"/>
                <w:sz w:val="21"/>
                <w:szCs w:val="21"/>
              </w:rPr>
            </w:pPr>
          </w:p>
          <w:p w14:paraId="667B1C6F">
            <w:pPr>
              <w:pStyle w:val="17"/>
              <w:keepLines w:val="0"/>
              <w:widowControl w:val="0"/>
              <w:wordWrap/>
              <w:overflowPunct/>
              <w:topLinePunct w:val="0"/>
              <w:bidi w:val="0"/>
              <w:adjustRightInd w:val="0"/>
              <w:snapToGrid w:val="0"/>
              <w:spacing w:line="360" w:lineRule="auto"/>
              <w:ind w:firstLine="0" w:firstLineChars="0"/>
              <w:jc w:val="center"/>
              <w:rPr>
                <w:rFonts w:hint="eastAsia" w:ascii="宋体" w:hAnsi="宋体"/>
                <w:color w:val="auto"/>
                <w:kern w:val="2"/>
                <w:sz w:val="21"/>
                <w:szCs w:val="21"/>
              </w:rPr>
            </w:pPr>
          </w:p>
          <w:p w14:paraId="1BFEAF36">
            <w:pPr>
              <w:pStyle w:val="17"/>
              <w:keepLines w:val="0"/>
              <w:widowControl w:val="0"/>
              <w:wordWrap/>
              <w:overflowPunct/>
              <w:topLinePunct w:val="0"/>
              <w:bidi w:val="0"/>
              <w:adjustRightInd w:val="0"/>
              <w:snapToGrid w:val="0"/>
              <w:spacing w:line="360" w:lineRule="auto"/>
              <w:ind w:firstLine="0" w:firstLineChars="0"/>
              <w:jc w:val="center"/>
              <w:rPr>
                <w:rFonts w:hint="eastAsia" w:ascii="宋体" w:hAnsi="宋体"/>
                <w:color w:val="auto"/>
                <w:kern w:val="2"/>
                <w:sz w:val="21"/>
                <w:szCs w:val="21"/>
              </w:rPr>
            </w:pPr>
          </w:p>
          <w:p w14:paraId="149458C7">
            <w:pPr>
              <w:pStyle w:val="17"/>
              <w:keepLines w:val="0"/>
              <w:widowControl w:val="0"/>
              <w:wordWrap/>
              <w:overflowPunct/>
              <w:topLinePunct w:val="0"/>
              <w:bidi w:val="0"/>
              <w:adjustRightInd w:val="0"/>
              <w:snapToGrid w:val="0"/>
              <w:spacing w:line="360" w:lineRule="auto"/>
              <w:ind w:firstLine="0" w:firstLineChars="0"/>
              <w:jc w:val="center"/>
              <w:rPr>
                <w:rFonts w:hint="eastAsia" w:ascii="宋体" w:hAnsi="宋体"/>
                <w:color w:val="auto"/>
                <w:kern w:val="2"/>
                <w:sz w:val="21"/>
                <w:szCs w:val="21"/>
              </w:rPr>
            </w:pPr>
          </w:p>
          <w:p w14:paraId="1A1E7993">
            <w:pPr>
              <w:pStyle w:val="17"/>
              <w:keepLines w:val="0"/>
              <w:widowControl w:val="0"/>
              <w:wordWrap/>
              <w:overflowPunct/>
              <w:topLinePunct w:val="0"/>
              <w:bidi w:val="0"/>
              <w:adjustRightInd w:val="0"/>
              <w:snapToGrid w:val="0"/>
              <w:spacing w:line="360" w:lineRule="auto"/>
              <w:ind w:firstLine="0" w:firstLineChars="0"/>
              <w:jc w:val="center"/>
              <w:rPr>
                <w:rFonts w:hint="eastAsia" w:ascii="宋体" w:hAnsi="宋体"/>
                <w:color w:val="auto"/>
                <w:kern w:val="2"/>
                <w:sz w:val="21"/>
                <w:szCs w:val="21"/>
              </w:rPr>
            </w:pPr>
          </w:p>
          <w:p w14:paraId="1E2AC77C">
            <w:pPr>
              <w:pStyle w:val="17"/>
              <w:keepLines w:val="0"/>
              <w:widowControl w:val="0"/>
              <w:tabs>
                <w:tab w:val="left" w:pos="6690"/>
              </w:tabs>
              <w:wordWrap/>
              <w:overflowPunct/>
              <w:topLinePunct w:val="0"/>
              <w:bidi w:val="0"/>
              <w:adjustRightInd w:val="0"/>
              <w:snapToGrid w:val="0"/>
              <w:spacing w:line="360" w:lineRule="auto"/>
              <w:ind w:firstLine="0" w:firstLineChars="0"/>
              <w:jc w:val="center"/>
              <w:rPr>
                <w:rFonts w:hint="eastAsia" w:ascii="宋体" w:hAnsi="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 xml:space="preserve">年 </w:t>
            </w:r>
            <w:r>
              <w:rPr>
                <w:rFonts w:hint="eastAsia" w:ascii="宋体" w:hAnsi="宋体"/>
                <w:color w:val="auto"/>
                <w:kern w:val="2"/>
                <w:sz w:val="21"/>
                <w:szCs w:val="21"/>
              </w:rPr>
              <w:t xml:space="preserve">   </w:t>
            </w:r>
            <w:r>
              <w:rPr>
                <w:rFonts w:ascii="宋体" w:hAnsi="宋体"/>
                <w:color w:val="auto"/>
                <w:kern w:val="2"/>
                <w:sz w:val="21"/>
                <w:szCs w:val="21"/>
              </w:rPr>
              <w:t>月</w:t>
            </w:r>
            <w:r>
              <w:rPr>
                <w:rFonts w:hint="eastAsia" w:ascii="宋体" w:hAnsi="宋体"/>
                <w:color w:val="auto"/>
                <w:kern w:val="2"/>
                <w:sz w:val="21"/>
                <w:szCs w:val="21"/>
              </w:rPr>
              <w:t xml:space="preserve">    </w:t>
            </w:r>
            <w:r>
              <w:rPr>
                <w:rFonts w:ascii="宋体" w:hAnsi="宋体"/>
                <w:color w:val="auto"/>
                <w:kern w:val="2"/>
                <w:sz w:val="21"/>
                <w:szCs w:val="21"/>
              </w:rPr>
              <w:t xml:space="preserve">日 </w:t>
            </w:r>
          </w:p>
          <w:p w14:paraId="6A3393AC">
            <w:pPr>
              <w:pStyle w:val="17"/>
              <w:keepLines w:val="0"/>
              <w:widowControl w:val="0"/>
              <w:wordWrap/>
              <w:overflowPunct/>
              <w:topLinePunct w:val="0"/>
              <w:bidi w:val="0"/>
              <w:adjustRightInd w:val="0"/>
              <w:snapToGrid w:val="0"/>
              <w:spacing w:line="360" w:lineRule="auto"/>
              <w:ind w:firstLine="0" w:firstLineChars="0"/>
              <w:jc w:val="center"/>
              <w:rPr>
                <w:rFonts w:hint="eastAsia" w:ascii="宋体" w:hAnsi="宋体"/>
                <w:color w:val="auto"/>
                <w:kern w:val="2"/>
                <w:sz w:val="21"/>
                <w:szCs w:val="21"/>
              </w:rPr>
            </w:pPr>
            <w:r>
              <w:rPr>
                <w:rFonts w:ascii="宋体" w:hAnsi="宋体"/>
                <w:color w:val="auto"/>
                <w:kern w:val="2"/>
                <w:sz w:val="21"/>
                <w:szCs w:val="21"/>
              </w:rPr>
              <w:t xml:space="preserve">                                      </w:t>
            </w:r>
            <w:r>
              <w:rPr>
                <w:rFonts w:hint="eastAsia" w:ascii="宋体" w:hAnsi="宋体"/>
                <w:color w:val="auto"/>
                <w:kern w:val="2"/>
                <w:sz w:val="21"/>
                <w:szCs w:val="21"/>
              </w:rPr>
              <w:t xml:space="preserve">                         </w:t>
            </w:r>
            <w:r>
              <w:rPr>
                <w:rFonts w:ascii="宋体" w:hAnsi="宋体"/>
                <w:color w:val="auto"/>
                <w:kern w:val="2"/>
                <w:sz w:val="21"/>
                <w:szCs w:val="21"/>
              </w:rPr>
              <w:t>（单位盖章）</w:t>
            </w:r>
          </w:p>
        </w:tc>
      </w:tr>
    </w:tbl>
    <w:p w14:paraId="57C422DD">
      <w:pPr>
        <w:pStyle w:val="4"/>
        <w:keepLines w:val="0"/>
        <w:wordWrap/>
        <w:overflowPunct/>
        <w:topLinePunct w:val="0"/>
        <w:bidi w:val="0"/>
        <w:adjustRightInd w:val="0"/>
        <w:snapToGrid w:val="0"/>
        <w:spacing w:before="312" w:beforeLines="100" w:after="312" w:afterLines="100" w:line="360" w:lineRule="auto"/>
        <w:ind w:firstLine="0"/>
        <w:rPr>
          <w:color w:val="auto"/>
        </w:rPr>
      </w:pPr>
    </w:p>
    <w:p w14:paraId="51A3B396">
      <w:pPr>
        <w:pStyle w:val="4"/>
        <w:keepNext w:val="0"/>
        <w:keepLines w:val="0"/>
        <w:kinsoku/>
        <w:wordWrap/>
        <w:overflowPunct/>
        <w:topLinePunct w:val="0"/>
        <w:autoSpaceDE/>
        <w:autoSpaceDN/>
        <w:bidi w:val="0"/>
        <w:adjustRightInd w:val="0"/>
        <w:snapToGrid w:val="0"/>
        <w:spacing w:before="312" w:beforeLines="100" w:after="312" w:afterLines="100" w:line="500" w:lineRule="exact"/>
        <w:ind w:firstLine="0"/>
        <w:textAlignment w:val="auto"/>
        <w:rPr>
          <w:color w:val="auto"/>
        </w:rPr>
      </w:pPr>
      <w:bookmarkStart w:id="54" w:name="_Toc102634288"/>
      <w:bookmarkStart w:id="55" w:name="_Toc102633920"/>
      <w:bookmarkStart w:id="56" w:name="_Toc29653"/>
      <w:bookmarkStart w:id="57" w:name="_Toc102633994"/>
      <w:bookmarkStart w:id="58" w:name="_Toc102634420"/>
      <w:bookmarkStart w:id="59" w:name="_Toc15033767"/>
      <w:bookmarkStart w:id="60" w:name="_Toc18997"/>
      <w:r>
        <w:rPr>
          <w:rFonts w:hint="eastAsia"/>
          <w:color w:val="auto"/>
        </w:rPr>
        <w:t>第二节 评价结论</w:t>
      </w:r>
      <w:bookmarkEnd w:id="54"/>
      <w:bookmarkEnd w:id="55"/>
      <w:bookmarkEnd w:id="56"/>
      <w:bookmarkEnd w:id="57"/>
      <w:bookmarkEnd w:id="58"/>
      <w:bookmarkEnd w:id="59"/>
      <w:bookmarkEnd w:id="60"/>
    </w:p>
    <w:p w14:paraId="102D5D6F">
      <w:pPr>
        <w:pStyle w:val="17"/>
        <w:keepNext w:val="0"/>
        <w:keepLines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通过对</w:t>
      </w:r>
      <w:r>
        <w:rPr>
          <w:rFonts w:hint="eastAsia" w:ascii="宋体"/>
          <w:snapToGrid w:val="0"/>
          <w:color w:val="auto"/>
        </w:rPr>
        <w:t>中国石化山东泰山石油股份有限公司肥城第二十二加油站</w:t>
      </w:r>
      <w:r>
        <w:rPr>
          <w:rFonts w:ascii="宋体"/>
          <w:snapToGrid w:val="0"/>
          <w:color w:val="auto"/>
        </w:rPr>
        <w:t>的经营情况的安全现状评价，评价组认为：</w:t>
      </w:r>
    </w:p>
    <w:p w14:paraId="376619EE">
      <w:pPr>
        <w:pStyle w:val="17"/>
        <w:keepNext w:val="0"/>
        <w:keepLines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hint="eastAsia" w:ascii="宋体"/>
          <w:snapToGrid w:val="0"/>
          <w:color w:val="auto"/>
        </w:rPr>
        <w:t>中国石化山东泰山石油股份有限公司肥城第二十二加油站</w:t>
      </w:r>
      <w:r>
        <w:rPr>
          <w:rFonts w:ascii="宋体"/>
          <w:snapToGrid w:val="0"/>
          <w:color w:val="auto"/>
        </w:rPr>
        <w:t>周边环境良好、总平面布置符合《汽车加油加气加氢站技术标准》、《建筑设计防火规范》等相关国家标准、行业标准的规定。</w:t>
      </w:r>
    </w:p>
    <w:p w14:paraId="62FD988D">
      <w:pPr>
        <w:pStyle w:val="17"/>
        <w:keepNext w:val="0"/>
        <w:keepLines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该站建立健全了安全生产责任制、安全生产规章制度和安全操作规程；编制了生产安全事故应急预案并备案，配备了必要的应急救援器材、设备。</w:t>
      </w:r>
    </w:p>
    <w:p w14:paraId="35D231F0">
      <w:pPr>
        <w:pStyle w:val="17"/>
        <w:keepNext w:val="0"/>
        <w:keepLines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该加油站危险化学品</w:t>
      </w:r>
      <w:r>
        <w:rPr>
          <w:rFonts w:hint="eastAsia" w:ascii="宋体"/>
          <w:snapToGrid w:val="0"/>
          <w:color w:val="auto"/>
        </w:rPr>
        <w:t>的储存条件</w:t>
      </w:r>
      <w:r>
        <w:rPr>
          <w:rFonts w:ascii="宋体"/>
          <w:snapToGrid w:val="0"/>
          <w:color w:val="auto"/>
        </w:rPr>
        <w:t>满足</w:t>
      </w:r>
      <w:r>
        <w:rPr>
          <w:rFonts w:hint="eastAsia" w:ascii="宋体"/>
          <w:snapToGrid w:val="0"/>
          <w:color w:val="auto"/>
        </w:rPr>
        <w:t>现行法规和标准规范的要求</w:t>
      </w:r>
      <w:r>
        <w:rPr>
          <w:rFonts w:ascii="宋体"/>
          <w:snapToGrid w:val="0"/>
          <w:color w:val="auto"/>
        </w:rPr>
        <w:t>。</w:t>
      </w:r>
    </w:p>
    <w:p w14:paraId="5BD2A06C">
      <w:pPr>
        <w:pStyle w:val="17"/>
        <w:keepNext w:val="0"/>
        <w:keepLines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针对危险化学品经营中存在的各类危险有害因素，</w:t>
      </w:r>
      <w:r>
        <w:rPr>
          <w:rFonts w:hint="eastAsia" w:ascii="宋体"/>
          <w:snapToGrid w:val="0"/>
          <w:color w:val="auto"/>
        </w:rPr>
        <w:t>该站</w:t>
      </w:r>
      <w:r>
        <w:rPr>
          <w:rFonts w:ascii="宋体"/>
          <w:snapToGrid w:val="0"/>
          <w:color w:val="auto"/>
        </w:rPr>
        <w:t>已采取了相应的安全技术控制措施和安全管理措施。</w:t>
      </w:r>
    </w:p>
    <w:p w14:paraId="3A614014">
      <w:pPr>
        <w:pStyle w:val="17"/>
        <w:keepNext w:val="0"/>
        <w:keepLines w:val="0"/>
        <w:widowControl w:val="0"/>
        <w:kinsoku/>
        <w:wordWrap/>
        <w:overflowPunct/>
        <w:topLinePunct w:val="0"/>
        <w:autoSpaceDE/>
        <w:autoSpaceDN/>
        <w:bidi w:val="0"/>
        <w:adjustRightInd w:val="0"/>
        <w:snapToGrid w:val="0"/>
        <w:spacing w:line="500" w:lineRule="exact"/>
        <w:ind w:firstLine="562"/>
        <w:textAlignment w:val="auto"/>
        <w:rPr>
          <w:b/>
          <w:bCs/>
          <w:color w:val="auto"/>
        </w:rPr>
      </w:pPr>
      <w:r>
        <w:rPr>
          <w:b/>
          <w:bCs/>
          <w:color w:val="auto"/>
        </w:rPr>
        <w:t>综上所述，</w:t>
      </w:r>
      <w:r>
        <w:rPr>
          <w:rFonts w:hint="eastAsia"/>
          <w:b/>
          <w:color w:val="auto"/>
        </w:rPr>
        <w:t>中国石化山东泰山石油股份有限公司肥城第二十二加油站</w:t>
      </w:r>
      <w:r>
        <w:rPr>
          <w:b/>
          <w:bCs/>
          <w:color w:val="auto"/>
        </w:rPr>
        <w:t>危险化学品经营符合国家有关安全生产的法律法规、技术标准要求，具备经营</w:t>
      </w:r>
      <w:r>
        <w:rPr>
          <w:rFonts w:hint="eastAsia"/>
          <w:b/>
          <w:bCs/>
          <w:color w:val="auto"/>
        </w:rPr>
        <w:t>汽油、乙醇汽油、柴油</w:t>
      </w:r>
      <w:r>
        <w:rPr>
          <w:b/>
          <w:bCs/>
          <w:color w:val="auto"/>
        </w:rPr>
        <w:t>的安全条件。</w:t>
      </w:r>
      <w:bookmarkStart w:id="61" w:name="_Toc87375115"/>
      <w:bookmarkStart w:id="62" w:name="_Toc16834"/>
      <w:bookmarkStart w:id="63" w:name="_Toc102634421"/>
      <w:bookmarkStart w:id="64" w:name="_Toc102633921"/>
      <w:bookmarkStart w:id="65" w:name="_Toc76827614"/>
      <w:bookmarkStart w:id="66" w:name="_Toc102633995"/>
      <w:bookmarkStart w:id="67" w:name="_Toc102634289"/>
      <w:bookmarkStart w:id="68" w:name="_Toc10432"/>
    </w:p>
    <w:p w14:paraId="3FE407DF">
      <w:pPr>
        <w:pStyle w:val="18"/>
        <w:keepLines w:val="0"/>
        <w:wordWrap/>
        <w:overflowPunct/>
        <w:topLinePunct w:val="0"/>
        <w:bidi w:val="0"/>
        <w:adjustRightInd w:val="0"/>
        <w:snapToGrid w:val="0"/>
        <w:spacing w:before="312" w:after="312" w:line="360" w:lineRule="auto"/>
        <w:rPr>
          <w:color w:val="auto"/>
        </w:rPr>
      </w:pPr>
      <w:bookmarkStart w:id="69" w:name="_Toc12256"/>
      <w:r>
        <w:rPr>
          <w:rFonts w:hint="eastAsia"/>
          <w:color w:val="auto"/>
        </w:rPr>
        <w:t>第八章  与被评价单位交换意见的结果</w:t>
      </w:r>
      <w:bookmarkEnd w:id="61"/>
      <w:bookmarkEnd w:id="62"/>
      <w:bookmarkEnd w:id="63"/>
      <w:bookmarkEnd w:id="64"/>
      <w:bookmarkEnd w:id="65"/>
      <w:bookmarkEnd w:id="66"/>
      <w:bookmarkEnd w:id="67"/>
      <w:bookmarkEnd w:id="68"/>
      <w:bookmarkEnd w:id="69"/>
    </w:p>
    <w:p w14:paraId="2A0ED03A">
      <w:pPr>
        <w:pStyle w:val="17"/>
        <w:keepLines w:val="0"/>
        <w:widowControl w:val="0"/>
        <w:wordWrap/>
        <w:overflowPunct/>
        <w:topLinePunct w:val="0"/>
        <w:bidi w:val="0"/>
        <w:adjustRightInd w:val="0"/>
        <w:snapToGrid w:val="0"/>
        <w:spacing w:line="360" w:lineRule="auto"/>
        <w:ind w:firstLine="560"/>
        <w:rPr>
          <w:rFonts w:ascii="宋体"/>
          <w:snapToGrid w:val="0"/>
          <w:color w:val="auto"/>
        </w:rPr>
      </w:pPr>
      <w:r>
        <w:rPr>
          <w:rFonts w:ascii="宋体"/>
          <w:snapToGrid w:val="0"/>
          <w:color w:val="auto"/>
        </w:rPr>
        <w:t>我公司受</w:t>
      </w:r>
      <w:r>
        <w:rPr>
          <w:rFonts w:hint="eastAsia" w:ascii="宋体"/>
          <w:snapToGrid w:val="0"/>
          <w:color w:val="auto"/>
        </w:rPr>
        <w:t>中国石化山东泰山石油股份有限公司</w:t>
      </w:r>
      <w:r>
        <w:rPr>
          <w:rFonts w:ascii="宋体"/>
          <w:snapToGrid w:val="0"/>
          <w:color w:val="auto"/>
        </w:rPr>
        <w:t>委托，对</w:t>
      </w:r>
      <w:r>
        <w:rPr>
          <w:rFonts w:hint="eastAsia" w:ascii="宋体"/>
          <w:snapToGrid w:val="0"/>
          <w:color w:val="auto"/>
        </w:rPr>
        <w:t>中国石化山东泰山石油股份有限公司肥城第二十二加油站</w:t>
      </w:r>
      <w:r>
        <w:rPr>
          <w:rFonts w:ascii="宋体"/>
          <w:snapToGrid w:val="0"/>
          <w:color w:val="auto"/>
        </w:rPr>
        <w:t>进行安全现状评价</w:t>
      </w:r>
      <w:r>
        <w:rPr>
          <w:rFonts w:hint="eastAsia" w:ascii="宋体"/>
          <w:snapToGrid w:val="0"/>
          <w:color w:val="auto"/>
        </w:rPr>
        <w:t>。</w:t>
      </w:r>
      <w:r>
        <w:rPr>
          <w:rFonts w:ascii="宋体"/>
          <w:snapToGrid w:val="0"/>
          <w:color w:val="auto"/>
        </w:rPr>
        <w:t>接受委托后，我公司有关人员与委托方进行了交流，并进行了现场勘查，收集了各种证照、检验检测报告和技术资料，在此基础上开展该加油站的安全评价工作。</w:t>
      </w:r>
    </w:p>
    <w:p w14:paraId="15570F39">
      <w:pPr>
        <w:pStyle w:val="17"/>
        <w:keepLines w:val="0"/>
        <w:widowControl w:val="0"/>
        <w:wordWrap/>
        <w:overflowPunct/>
        <w:topLinePunct w:val="0"/>
        <w:bidi w:val="0"/>
        <w:adjustRightInd w:val="0"/>
        <w:snapToGrid w:val="0"/>
        <w:spacing w:line="360" w:lineRule="auto"/>
        <w:ind w:firstLine="560"/>
        <w:rPr>
          <w:rFonts w:ascii="宋体"/>
          <w:snapToGrid w:val="0"/>
          <w:color w:val="auto"/>
        </w:rPr>
      </w:pPr>
      <w:r>
        <w:rPr>
          <w:rFonts w:ascii="宋体"/>
          <w:snapToGrid w:val="0"/>
          <w:color w:val="auto"/>
        </w:rPr>
        <w:t>在评价进行过程中，评价组就加油站存在的问题与建设单位多次交流，提出了相应的建议。</w:t>
      </w:r>
      <w:r>
        <w:rPr>
          <w:rFonts w:hint="eastAsia" w:ascii="宋体"/>
          <w:snapToGrid w:val="0"/>
          <w:color w:val="auto"/>
        </w:rPr>
        <w:t>中国石化山东泰山石油股份有限公司肥城第二十二加油站</w:t>
      </w:r>
      <w:r>
        <w:rPr>
          <w:rFonts w:ascii="宋体"/>
          <w:snapToGrid w:val="0"/>
          <w:color w:val="auto"/>
        </w:rPr>
        <w:t>对评价组提出的建议予以认可</w:t>
      </w:r>
      <w:r>
        <w:rPr>
          <w:rFonts w:hint="eastAsia" w:ascii="宋体"/>
          <w:snapToGrid w:val="0"/>
          <w:color w:val="auto"/>
        </w:rPr>
        <w:t>，</w:t>
      </w:r>
      <w:r>
        <w:rPr>
          <w:rFonts w:ascii="宋体"/>
          <w:snapToGrid w:val="0"/>
          <w:color w:val="auto"/>
        </w:rPr>
        <w:t>企业对提供资料的真实性进行负责。</w:t>
      </w:r>
    </w:p>
    <w:p w14:paraId="47EFC27E">
      <w:pPr>
        <w:pStyle w:val="17"/>
        <w:keepLines w:val="0"/>
        <w:widowControl w:val="0"/>
        <w:wordWrap/>
        <w:overflowPunct/>
        <w:topLinePunct w:val="0"/>
        <w:bidi w:val="0"/>
        <w:adjustRightInd w:val="0"/>
        <w:snapToGrid w:val="0"/>
        <w:spacing w:line="360" w:lineRule="auto"/>
        <w:ind w:firstLine="560"/>
        <w:rPr>
          <w:rFonts w:ascii="宋体"/>
          <w:snapToGrid w:val="0"/>
          <w:color w:val="auto"/>
        </w:rPr>
      </w:pPr>
      <w:r>
        <w:rPr>
          <w:rFonts w:ascii="宋体"/>
          <w:snapToGrid w:val="0"/>
          <w:color w:val="auto"/>
        </w:rPr>
        <w:t>评价组在对建设单位补充的文件资料进行确认后，于202</w:t>
      </w:r>
      <w:r>
        <w:rPr>
          <w:rFonts w:hint="eastAsia" w:ascii="宋体"/>
          <w:snapToGrid w:val="0"/>
          <w:color w:val="auto"/>
        </w:rPr>
        <w:t>4</w:t>
      </w:r>
      <w:r>
        <w:rPr>
          <w:rFonts w:ascii="宋体"/>
          <w:snapToGrid w:val="0"/>
          <w:color w:val="auto"/>
        </w:rPr>
        <w:t>年</w:t>
      </w:r>
      <w:r>
        <w:rPr>
          <w:rFonts w:hint="eastAsia" w:ascii="宋体"/>
          <w:snapToGrid w:val="0"/>
          <w:color w:val="auto"/>
        </w:rPr>
        <w:t>10</w:t>
      </w:r>
      <w:r>
        <w:rPr>
          <w:rFonts w:ascii="宋体"/>
          <w:snapToGrid w:val="0"/>
          <w:color w:val="auto"/>
        </w:rPr>
        <w:t>月编制完成本安全评价报告。</w:t>
      </w:r>
    </w:p>
    <w:p w14:paraId="54052BDF">
      <w:pPr>
        <w:pStyle w:val="17"/>
        <w:keepLines w:val="0"/>
        <w:widowControl w:val="0"/>
        <w:wordWrap/>
        <w:overflowPunct/>
        <w:topLinePunct w:val="0"/>
        <w:bidi w:val="0"/>
        <w:adjustRightInd w:val="0"/>
        <w:snapToGrid w:val="0"/>
        <w:spacing w:line="360" w:lineRule="auto"/>
        <w:ind w:firstLine="562"/>
        <w:rPr>
          <w:b/>
          <w:bCs/>
          <w:color w:val="auto"/>
        </w:rPr>
      </w:pPr>
    </w:p>
    <w:p w14:paraId="6570EA84">
      <w:pPr>
        <w:pStyle w:val="17"/>
        <w:keepLines w:val="0"/>
        <w:widowControl w:val="0"/>
        <w:wordWrap/>
        <w:overflowPunct/>
        <w:topLinePunct w:val="0"/>
        <w:bidi w:val="0"/>
        <w:adjustRightInd w:val="0"/>
        <w:snapToGrid w:val="0"/>
        <w:spacing w:line="360" w:lineRule="auto"/>
        <w:ind w:firstLine="562"/>
        <w:rPr>
          <w:b/>
          <w:bCs/>
          <w:color w:val="auto"/>
        </w:rPr>
      </w:pPr>
    </w:p>
    <w:p w14:paraId="37E1C85C">
      <w:pPr>
        <w:pStyle w:val="17"/>
        <w:keepLines w:val="0"/>
        <w:widowControl w:val="0"/>
        <w:wordWrap/>
        <w:overflowPunct/>
        <w:topLinePunct w:val="0"/>
        <w:bidi w:val="0"/>
        <w:adjustRightInd w:val="0"/>
        <w:snapToGrid w:val="0"/>
        <w:spacing w:line="360" w:lineRule="auto"/>
        <w:ind w:firstLine="562"/>
        <w:rPr>
          <w:b/>
          <w:bCs/>
          <w:color w:val="auto"/>
        </w:rPr>
      </w:pPr>
    </w:p>
    <w:p w14:paraId="6BD0354E">
      <w:pPr>
        <w:pStyle w:val="17"/>
        <w:keepLines w:val="0"/>
        <w:widowControl w:val="0"/>
        <w:wordWrap/>
        <w:overflowPunct/>
        <w:topLinePunct w:val="0"/>
        <w:bidi w:val="0"/>
        <w:adjustRightInd w:val="0"/>
        <w:snapToGrid w:val="0"/>
        <w:spacing w:line="360" w:lineRule="auto"/>
        <w:ind w:firstLine="562"/>
        <w:rPr>
          <w:b/>
          <w:bCs/>
          <w:color w:val="auto"/>
        </w:rPr>
      </w:pPr>
    </w:p>
    <w:p w14:paraId="2D99E0E8">
      <w:pPr>
        <w:pStyle w:val="17"/>
        <w:keepLines w:val="0"/>
        <w:widowControl w:val="0"/>
        <w:wordWrap/>
        <w:overflowPunct/>
        <w:topLinePunct w:val="0"/>
        <w:bidi w:val="0"/>
        <w:adjustRightInd w:val="0"/>
        <w:snapToGrid w:val="0"/>
        <w:spacing w:line="360" w:lineRule="auto"/>
        <w:ind w:firstLine="562"/>
        <w:rPr>
          <w:b/>
          <w:bCs/>
          <w:color w:val="auto"/>
        </w:rPr>
      </w:pPr>
    </w:p>
    <w:p w14:paraId="0355E998">
      <w:pPr>
        <w:pStyle w:val="17"/>
        <w:keepLines w:val="0"/>
        <w:widowControl w:val="0"/>
        <w:wordWrap/>
        <w:overflowPunct/>
        <w:topLinePunct w:val="0"/>
        <w:bidi w:val="0"/>
        <w:adjustRightInd w:val="0"/>
        <w:snapToGrid w:val="0"/>
        <w:spacing w:line="360" w:lineRule="auto"/>
        <w:ind w:firstLine="562"/>
        <w:rPr>
          <w:b/>
          <w:bCs/>
          <w:color w:val="auto"/>
        </w:rPr>
      </w:pPr>
    </w:p>
    <w:p w14:paraId="11EF205F">
      <w:pPr>
        <w:pStyle w:val="17"/>
        <w:keepLines w:val="0"/>
        <w:widowControl w:val="0"/>
        <w:wordWrap/>
        <w:overflowPunct/>
        <w:topLinePunct w:val="0"/>
        <w:bidi w:val="0"/>
        <w:adjustRightInd w:val="0"/>
        <w:snapToGrid w:val="0"/>
        <w:spacing w:line="360" w:lineRule="auto"/>
        <w:ind w:firstLine="562"/>
        <w:rPr>
          <w:b/>
          <w:bCs/>
          <w:color w:val="auto"/>
        </w:rPr>
      </w:pPr>
    </w:p>
    <w:p w14:paraId="1DB9A02D">
      <w:pPr>
        <w:pStyle w:val="17"/>
        <w:keepLines w:val="0"/>
        <w:widowControl w:val="0"/>
        <w:wordWrap/>
        <w:overflowPunct/>
        <w:topLinePunct w:val="0"/>
        <w:bidi w:val="0"/>
        <w:adjustRightInd w:val="0"/>
        <w:snapToGrid w:val="0"/>
        <w:spacing w:line="360" w:lineRule="auto"/>
        <w:ind w:firstLine="562"/>
        <w:rPr>
          <w:b/>
          <w:bCs/>
          <w:color w:val="auto"/>
        </w:rPr>
      </w:pPr>
    </w:p>
    <w:p w14:paraId="754292A5">
      <w:pPr>
        <w:pStyle w:val="17"/>
        <w:keepLines w:val="0"/>
        <w:widowControl w:val="0"/>
        <w:wordWrap/>
        <w:overflowPunct/>
        <w:topLinePunct w:val="0"/>
        <w:bidi w:val="0"/>
        <w:adjustRightInd w:val="0"/>
        <w:snapToGrid w:val="0"/>
        <w:spacing w:line="360" w:lineRule="auto"/>
        <w:ind w:firstLine="562"/>
        <w:rPr>
          <w:b/>
          <w:bCs/>
          <w:color w:val="auto"/>
        </w:rPr>
      </w:pPr>
    </w:p>
    <w:p w14:paraId="1600BBE8">
      <w:pPr>
        <w:pStyle w:val="17"/>
        <w:keepLines w:val="0"/>
        <w:widowControl w:val="0"/>
        <w:wordWrap/>
        <w:overflowPunct/>
        <w:topLinePunct w:val="0"/>
        <w:bidi w:val="0"/>
        <w:adjustRightInd w:val="0"/>
        <w:snapToGrid w:val="0"/>
        <w:spacing w:line="360" w:lineRule="auto"/>
        <w:ind w:firstLine="560"/>
        <w:rPr>
          <w:bCs/>
          <w:color w:val="auto"/>
        </w:rPr>
      </w:pPr>
      <w:r>
        <w:rPr>
          <w:rFonts w:hint="eastAsia"/>
          <w:bCs/>
          <w:color w:val="auto"/>
        </w:rPr>
        <w:t>评价单位公章                              被评价单位公章</w:t>
      </w:r>
    </w:p>
    <w:p w14:paraId="35355F6A">
      <w:pPr>
        <w:pStyle w:val="17"/>
        <w:keepLines w:val="0"/>
        <w:widowControl w:val="0"/>
        <w:wordWrap/>
        <w:overflowPunct/>
        <w:topLinePunct w:val="0"/>
        <w:bidi w:val="0"/>
        <w:adjustRightInd w:val="0"/>
        <w:snapToGrid w:val="0"/>
        <w:spacing w:line="360" w:lineRule="auto"/>
        <w:ind w:firstLine="562"/>
        <w:rPr>
          <w:b/>
          <w:bCs/>
          <w:color w:val="auto"/>
        </w:rPr>
      </w:pPr>
    </w:p>
    <w:p w14:paraId="5B9A3ED2">
      <w:pPr>
        <w:pStyle w:val="22"/>
        <w:keepLines w:val="0"/>
        <w:widowControl w:val="0"/>
        <w:kinsoku w:val="0"/>
        <w:wordWrap/>
        <w:overflowPunct/>
        <w:topLinePunct w:val="0"/>
        <w:bidi w:val="0"/>
        <w:adjustRightInd w:val="0"/>
        <w:snapToGrid w:val="0"/>
        <w:spacing w:line="360" w:lineRule="auto"/>
        <w:ind w:firstLine="560"/>
        <w:jc w:val="both"/>
        <w:outlineLvl w:val="9"/>
        <w:rPr>
          <w:rFonts w:ascii="宋体"/>
          <w:color w:val="auto"/>
        </w:rPr>
      </w:pPr>
    </w:p>
    <w:p w14:paraId="4768EBE9">
      <w:pPr>
        <w:pStyle w:val="22"/>
        <w:keepLines w:val="0"/>
        <w:widowControl w:val="0"/>
        <w:kinsoku w:val="0"/>
        <w:wordWrap/>
        <w:overflowPunct/>
        <w:topLinePunct w:val="0"/>
        <w:bidi w:val="0"/>
        <w:adjustRightInd w:val="0"/>
        <w:snapToGrid w:val="0"/>
        <w:spacing w:line="360" w:lineRule="auto"/>
        <w:ind w:firstLine="560"/>
        <w:jc w:val="both"/>
        <w:outlineLvl w:val="9"/>
        <w:rPr>
          <w:rFonts w:ascii="宋体"/>
          <w:color w:val="auto"/>
        </w:rPr>
      </w:pPr>
    </w:p>
    <w:p w14:paraId="1F2F1985">
      <w:pPr>
        <w:pStyle w:val="22"/>
        <w:keepLines w:val="0"/>
        <w:widowControl w:val="0"/>
        <w:kinsoku w:val="0"/>
        <w:wordWrap/>
        <w:overflowPunct/>
        <w:topLinePunct w:val="0"/>
        <w:bidi w:val="0"/>
        <w:adjustRightInd w:val="0"/>
        <w:snapToGrid w:val="0"/>
        <w:spacing w:line="360" w:lineRule="auto"/>
        <w:ind w:firstLine="560"/>
        <w:jc w:val="both"/>
        <w:outlineLvl w:val="9"/>
        <w:rPr>
          <w:rFonts w:ascii="宋体"/>
          <w:color w:val="auto"/>
        </w:rPr>
      </w:pPr>
    </w:p>
    <w:p w14:paraId="29A5EEA8">
      <w:pPr>
        <w:jc w:val="center"/>
        <w:rPr>
          <w:rFonts w:hint="default"/>
          <w:sz w:val="28"/>
          <w:szCs w:val="28"/>
          <w:lang w:val="en-US" w:eastAsia="zh-CN"/>
        </w:rPr>
      </w:pPr>
      <w:bookmarkStart w:id="70" w:name="_GoBack"/>
      <w:bookmarkEnd w:id="70"/>
      <w:r>
        <w:rPr>
          <w:rFonts w:hint="default"/>
          <w:sz w:val="28"/>
          <w:szCs w:val="28"/>
          <w:lang w:val="en-US" w:eastAsia="zh-CN"/>
        </w:rPr>
        <w:drawing>
          <wp:inline distT="0" distB="0" distL="114300" distR="114300">
            <wp:extent cx="5721985" cy="4291330"/>
            <wp:effectExtent l="0" t="0" r="12065" b="13970"/>
            <wp:docPr id="2" name="图片 2" descr="IMG_20240902_11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902_111519"/>
                    <pic:cNvPicPr>
                      <a:picLocks noChangeAspect="1"/>
                    </pic:cNvPicPr>
                  </pic:nvPicPr>
                  <pic:blipFill>
                    <a:blip r:embed="rId4"/>
                    <a:stretch>
                      <a:fillRect/>
                    </a:stretch>
                  </pic:blipFill>
                  <pic:spPr>
                    <a:xfrm>
                      <a:off x="0" y="0"/>
                      <a:ext cx="5721985" cy="4291330"/>
                    </a:xfrm>
                    <a:prstGeom prst="rect">
                      <a:avLst/>
                    </a:prstGeom>
                  </pic:spPr>
                </pic:pic>
              </a:graphicData>
            </a:graphic>
          </wp:inline>
        </w:drawing>
      </w:r>
      <w:r>
        <w:rPr>
          <w:rFonts w:hint="default"/>
          <w:sz w:val="28"/>
          <w:szCs w:val="28"/>
          <w:lang w:val="en-US" w:eastAsia="zh-CN"/>
        </w:rPr>
        <w:drawing>
          <wp:inline distT="0" distB="0" distL="114300" distR="114300">
            <wp:extent cx="5721985" cy="4291330"/>
            <wp:effectExtent l="0" t="0" r="12065" b="13970"/>
            <wp:docPr id="1" name="图片 1" descr="IMG_20240902_11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0902_111557"/>
                    <pic:cNvPicPr>
                      <a:picLocks noChangeAspect="1"/>
                    </pic:cNvPicPr>
                  </pic:nvPicPr>
                  <pic:blipFill>
                    <a:blip r:embed="rId5"/>
                    <a:stretch>
                      <a:fillRect/>
                    </a:stretch>
                  </pic:blipFill>
                  <pic:spPr>
                    <a:xfrm>
                      <a:off x="0" y="0"/>
                      <a:ext cx="5721985" cy="4291330"/>
                    </a:xfrm>
                    <a:prstGeom prst="rect">
                      <a:avLst/>
                    </a:prstGeom>
                  </pic:spPr>
                </pic:pic>
              </a:graphicData>
            </a:graphic>
          </wp:inline>
        </w:drawing>
      </w:r>
      <w:r>
        <w:rPr>
          <w:rFonts w:hint="default"/>
          <w:sz w:val="28"/>
          <w:szCs w:val="28"/>
          <w:lang w:val="en-US" w:eastAsia="zh-CN"/>
        </w:rPr>
        <w:drawing>
          <wp:inline distT="0" distB="0" distL="114300" distR="114300">
            <wp:extent cx="4343400" cy="6343650"/>
            <wp:effectExtent l="0" t="0" r="0" b="0"/>
            <wp:docPr id="3" name="图片 3" descr="174892140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48921407363"/>
                    <pic:cNvPicPr>
                      <a:picLocks noChangeAspect="1"/>
                    </pic:cNvPicPr>
                  </pic:nvPicPr>
                  <pic:blipFill>
                    <a:blip r:embed="rId6"/>
                    <a:stretch>
                      <a:fillRect/>
                    </a:stretch>
                  </pic:blipFill>
                  <pic:spPr>
                    <a:xfrm>
                      <a:off x="0" y="0"/>
                      <a:ext cx="4343400" cy="6343650"/>
                    </a:xfrm>
                    <a:prstGeom prst="rect">
                      <a:avLst/>
                    </a:prstGeom>
                  </pic:spPr>
                </pic:pic>
              </a:graphicData>
            </a:graphic>
          </wp:inline>
        </w:drawing>
      </w:r>
      <w:r>
        <w:rPr>
          <w:rFonts w:hint="default"/>
          <w:sz w:val="28"/>
          <w:szCs w:val="28"/>
          <w:lang w:val="en-US" w:eastAsia="zh-CN"/>
        </w:rPr>
        <w:drawing>
          <wp:inline distT="0" distB="0" distL="114300" distR="114300">
            <wp:extent cx="4533900" cy="6276975"/>
            <wp:effectExtent l="0" t="0" r="0" b="9525"/>
            <wp:docPr id="4" name="图片 4" descr="174892142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8921420865"/>
                    <pic:cNvPicPr>
                      <a:picLocks noChangeAspect="1"/>
                    </pic:cNvPicPr>
                  </pic:nvPicPr>
                  <pic:blipFill>
                    <a:blip r:embed="rId7"/>
                    <a:stretch>
                      <a:fillRect/>
                    </a:stretch>
                  </pic:blipFill>
                  <pic:spPr>
                    <a:xfrm>
                      <a:off x="0" y="0"/>
                      <a:ext cx="4533900" cy="6276975"/>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9D5345C"/>
    <w:rsid w:val="0A1C5EDC"/>
    <w:rsid w:val="0A27015B"/>
    <w:rsid w:val="0A5D5908"/>
    <w:rsid w:val="0BD51C61"/>
    <w:rsid w:val="0EDC1223"/>
    <w:rsid w:val="12386C7D"/>
    <w:rsid w:val="13D12EE6"/>
    <w:rsid w:val="153C4810"/>
    <w:rsid w:val="16BC1C2B"/>
    <w:rsid w:val="1C4A2E55"/>
    <w:rsid w:val="1DE92E23"/>
    <w:rsid w:val="1E1E483E"/>
    <w:rsid w:val="1FF73CD4"/>
    <w:rsid w:val="22CB7136"/>
    <w:rsid w:val="284F788D"/>
    <w:rsid w:val="2A9D36CA"/>
    <w:rsid w:val="2E5E68CC"/>
    <w:rsid w:val="2EC41433"/>
    <w:rsid w:val="2F917EEC"/>
    <w:rsid w:val="31297B3A"/>
    <w:rsid w:val="355F439E"/>
    <w:rsid w:val="35CC29B8"/>
    <w:rsid w:val="361E3E5D"/>
    <w:rsid w:val="37A6654A"/>
    <w:rsid w:val="38B36882"/>
    <w:rsid w:val="3BB85D78"/>
    <w:rsid w:val="3C176B62"/>
    <w:rsid w:val="420C1409"/>
    <w:rsid w:val="43CB4C37"/>
    <w:rsid w:val="45C42EDF"/>
    <w:rsid w:val="4706325F"/>
    <w:rsid w:val="47290367"/>
    <w:rsid w:val="48FE4AE5"/>
    <w:rsid w:val="4ECC7680"/>
    <w:rsid w:val="4F5D6EDB"/>
    <w:rsid w:val="537F016A"/>
    <w:rsid w:val="563D798B"/>
    <w:rsid w:val="567C6788"/>
    <w:rsid w:val="579A241E"/>
    <w:rsid w:val="58840D76"/>
    <w:rsid w:val="5C8B1D2D"/>
    <w:rsid w:val="5D511379"/>
    <w:rsid w:val="5DF10833"/>
    <w:rsid w:val="60FB542C"/>
    <w:rsid w:val="636808F8"/>
    <w:rsid w:val="64FD4259"/>
    <w:rsid w:val="6A640607"/>
    <w:rsid w:val="6AD40467"/>
    <w:rsid w:val="6B3179BA"/>
    <w:rsid w:val="6BF95CAB"/>
    <w:rsid w:val="6C4D48B3"/>
    <w:rsid w:val="6D0669CA"/>
    <w:rsid w:val="6FDF53A7"/>
    <w:rsid w:val="717A11AE"/>
    <w:rsid w:val="72FD2CFB"/>
    <w:rsid w:val="74AE7C8C"/>
    <w:rsid w:val="76511CAD"/>
    <w:rsid w:val="7772596D"/>
    <w:rsid w:val="77F51F25"/>
    <w:rsid w:val="788E5851"/>
    <w:rsid w:val="78B47E5A"/>
    <w:rsid w:val="7AB02F22"/>
    <w:rsid w:val="7C9C2DA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Normal Indent"/>
    <w:basedOn w:val="1"/>
    <w:qFormat/>
    <w:uiPriority w:val="99"/>
    <w:pPr>
      <w:ind w:firstLine="420"/>
    </w:pPr>
  </w:style>
  <w:style w:type="paragraph" w:styleId="6">
    <w:name w:val="annotation text"/>
    <w:basedOn w:val="1"/>
    <w:qFormat/>
    <w:uiPriority w:val="99"/>
    <w:pPr>
      <w:ind w:firstLine="200" w:firstLineChars="200"/>
      <w:jc w:val="left"/>
    </w:pPr>
    <w:rPr>
      <w:sz w:val="28"/>
      <w:szCs w:val="20"/>
      <w:u w:color="000000"/>
    </w:r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7"/>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3608</Words>
  <Characters>3872</Characters>
  <Lines>0</Lines>
  <Paragraphs>0</Paragraphs>
  <TotalTime>0</TotalTime>
  <ScaleCrop>false</ScaleCrop>
  <LinksUpToDate>false</LinksUpToDate>
  <CharactersWithSpaces>4211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2025-06-03T03:33:02Z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