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D1" w:rsidRDefault="00CC60F9">
      <w:pPr>
        <w:spacing w:before="197" w:line="222" w:lineRule="auto"/>
        <w:jc w:val="center"/>
        <w:outlineLvl w:val="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庆祥企业管理（新泰市）</w:t>
      </w:r>
      <w:proofErr w:type="gramStart"/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有限公司京化加油站</w:t>
      </w:r>
      <w:proofErr w:type="gramEnd"/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经营危险化学品现状评价项目信息表</w:t>
      </w:r>
    </w:p>
    <w:p w:rsidR="00BC10D1" w:rsidRDefault="00CC60F9">
      <w:pPr>
        <w:spacing w:before="288" w:line="228" w:lineRule="auto"/>
        <w:ind w:left="137"/>
        <w:rPr>
          <w:rFonts w:ascii="宋体" w:eastAsia="宋体" w:hAnsi="宋体" w:cs="宋体"/>
          <w:sz w:val="19"/>
          <w:szCs w:val="19"/>
        </w:rPr>
      </w:pPr>
      <w:proofErr w:type="spellStart"/>
      <w:r>
        <w:rPr>
          <w:rFonts w:ascii="宋体" w:eastAsia="宋体" w:hAnsi="宋体" w:cs="宋体"/>
          <w:spacing w:val="8"/>
          <w:sz w:val="19"/>
          <w:szCs w:val="19"/>
        </w:rPr>
        <w:t>项目编号</w:t>
      </w:r>
      <w:proofErr w:type="spellEnd"/>
      <w:r>
        <w:rPr>
          <w:rFonts w:ascii="宋体" w:eastAsia="宋体" w:hAnsi="宋体" w:cs="宋体"/>
          <w:spacing w:val="8"/>
          <w:sz w:val="19"/>
          <w:szCs w:val="19"/>
        </w:rPr>
        <w:t>：</w:t>
      </w:r>
    </w:p>
    <w:p w:rsidR="00BC10D1" w:rsidRDefault="00BC10D1">
      <w:pPr>
        <w:spacing w:line="54" w:lineRule="auto"/>
        <w:rPr>
          <w:sz w:val="2"/>
        </w:rPr>
      </w:pPr>
    </w:p>
    <w:tbl>
      <w:tblPr>
        <w:tblStyle w:val="TableNormal"/>
        <w:tblW w:w="89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82"/>
        <w:gridCol w:w="1661"/>
        <w:gridCol w:w="3499"/>
        <w:gridCol w:w="1929"/>
      </w:tblGrid>
      <w:tr w:rsidR="00BC10D1">
        <w:trPr>
          <w:trHeight w:val="635"/>
        </w:trPr>
        <w:tc>
          <w:tcPr>
            <w:tcW w:w="1182" w:type="dxa"/>
          </w:tcPr>
          <w:p w:rsidR="00BC10D1" w:rsidRDefault="00CC60F9">
            <w:pPr>
              <w:pStyle w:val="TableText"/>
              <w:spacing w:before="234" w:line="229" w:lineRule="auto"/>
              <w:ind w:left="129"/>
            </w:pPr>
            <w:proofErr w:type="spellStart"/>
            <w:r>
              <w:rPr>
                <w:spacing w:val="11"/>
              </w:rPr>
              <w:t>项目名称</w:t>
            </w:r>
            <w:proofErr w:type="spellEnd"/>
          </w:p>
        </w:tc>
        <w:tc>
          <w:tcPr>
            <w:tcW w:w="7771" w:type="dxa"/>
            <w:gridSpan w:val="4"/>
          </w:tcPr>
          <w:p w:rsidR="00BC10D1" w:rsidRDefault="00CC60F9">
            <w:pPr>
              <w:pStyle w:val="TableText"/>
              <w:spacing w:before="88" w:line="227" w:lineRule="auto"/>
              <w:rPr>
                <w:lang w:eastAsia="zh-CN"/>
              </w:rPr>
            </w:pPr>
            <w:r>
              <w:rPr>
                <w:rFonts w:hint="eastAsia"/>
                <w:spacing w:val="17"/>
                <w:lang w:eastAsia="zh-CN"/>
              </w:rPr>
              <w:t>庆祥企业管理（新泰市）</w:t>
            </w:r>
            <w:proofErr w:type="gramStart"/>
            <w:r>
              <w:rPr>
                <w:rFonts w:hint="eastAsia"/>
                <w:spacing w:val="17"/>
                <w:lang w:eastAsia="zh-CN"/>
              </w:rPr>
              <w:t>有限公司京化加油站</w:t>
            </w:r>
            <w:proofErr w:type="gramEnd"/>
            <w:r>
              <w:rPr>
                <w:spacing w:val="17"/>
                <w:lang w:eastAsia="zh-CN"/>
              </w:rPr>
              <w:t>经营危险化学品现状评价</w:t>
            </w:r>
          </w:p>
        </w:tc>
      </w:tr>
      <w:tr w:rsidR="00BC10D1">
        <w:trPr>
          <w:trHeight w:val="3931"/>
        </w:trPr>
        <w:tc>
          <w:tcPr>
            <w:tcW w:w="1182" w:type="dxa"/>
          </w:tcPr>
          <w:p w:rsidR="00BC10D1" w:rsidRDefault="00BC10D1">
            <w:pPr>
              <w:spacing w:line="254" w:lineRule="auto"/>
              <w:rPr>
                <w:lang w:eastAsia="zh-CN"/>
              </w:rPr>
            </w:pPr>
          </w:p>
          <w:p w:rsidR="00BC10D1" w:rsidRDefault="00BC10D1">
            <w:pPr>
              <w:spacing w:line="254" w:lineRule="auto"/>
              <w:rPr>
                <w:lang w:eastAsia="zh-CN"/>
              </w:rPr>
            </w:pPr>
          </w:p>
          <w:p w:rsidR="00BC10D1" w:rsidRDefault="00BC10D1">
            <w:pPr>
              <w:spacing w:line="254" w:lineRule="auto"/>
              <w:rPr>
                <w:lang w:eastAsia="zh-CN"/>
              </w:rPr>
            </w:pPr>
          </w:p>
          <w:p w:rsidR="00BC10D1" w:rsidRDefault="00BC10D1">
            <w:pPr>
              <w:spacing w:line="254" w:lineRule="auto"/>
              <w:rPr>
                <w:lang w:eastAsia="zh-CN"/>
              </w:rPr>
            </w:pPr>
          </w:p>
          <w:p w:rsidR="00BC10D1" w:rsidRDefault="00BC10D1">
            <w:pPr>
              <w:spacing w:line="254" w:lineRule="auto"/>
              <w:rPr>
                <w:lang w:eastAsia="zh-CN"/>
              </w:rPr>
            </w:pPr>
          </w:p>
          <w:p w:rsidR="00BC10D1" w:rsidRDefault="00CC60F9">
            <w:pPr>
              <w:pStyle w:val="TableText"/>
              <w:spacing w:before="62" w:line="227" w:lineRule="auto"/>
              <w:ind w:left="129"/>
            </w:pPr>
            <w:proofErr w:type="spellStart"/>
            <w:r>
              <w:rPr>
                <w:spacing w:val="11"/>
              </w:rPr>
              <w:t>项目简介</w:t>
            </w:r>
            <w:proofErr w:type="spellEnd"/>
          </w:p>
        </w:tc>
        <w:tc>
          <w:tcPr>
            <w:tcW w:w="7771" w:type="dxa"/>
            <w:gridSpan w:val="4"/>
          </w:tcPr>
          <w:p w:rsidR="00BC10D1" w:rsidRDefault="00CC60F9">
            <w:pPr>
              <w:pStyle w:val="a5"/>
              <w:spacing w:line="360" w:lineRule="auto"/>
              <w:ind w:firstLine="414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该加油站主要建有站房、油罐区、加油区等。站房在加油区东侧，加油区现有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台加油机（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台双枪双油品加油机已停用，其余均为双枪单油品加油机）均为潜油泵式；油罐区布置在行车道下，其双层油罐采用卧式直埋（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50m3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柴油罐、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50m392#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汽油罐、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30m395#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汽油罐、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30m3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柴油罐）；汽油、柴油卸油口均位于加油区西侧；加油站共有通气管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根，其中汽油储罐、柴油储罐的通气管沿罩棚立柱敷设至罩棚面以上，油气回收装置通气</w:t>
            </w:r>
            <w:proofErr w:type="gramStart"/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管设置</w:t>
            </w:r>
            <w:proofErr w:type="gramEnd"/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于油气回收装置处；洗车棚位于站房南侧。该站汽油设有卸油油气回收系统、加油油气回收系统及油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气处理装置（三次油气回收系统）；按《汽车加油加气加氢站技术标准》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GB50156-2021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标准规定：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V=80+130/2=145m3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，该站属二级加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油站。</w:t>
            </w:r>
          </w:p>
        </w:tc>
      </w:tr>
      <w:tr w:rsidR="00BC10D1">
        <w:trPr>
          <w:trHeight w:val="820"/>
        </w:trPr>
        <w:tc>
          <w:tcPr>
            <w:tcW w:w="1864" w:type="dxa"/>
            <w:gridSpan w:val="2"/>
          </w:tcPr>
          <w:p w:rsidR="00BC10D1" w:rsidRDefault="00BC10D1">
            <w:pPr>
              <w:spacing w:line="256" w:lineRule="auto"/>
              <w:rPr>
                <w:lang w:eastAsia="zh-CN"/>
              </w:rPr>
            </w:pPr>
          </w:p>
          <w:p w:rsidR="00BC10D1" w:rsidRDefault="00CC60F9">
            <w:pPr>
              <w:pStyle w:val="TableText"/>
              <w:spacing w:before="61" w:line="227" w:lineRule="auto"/>
              <w:ind w:left="521"/>
            </w:pPr>
            <w:proofErr w:type="spellStart"/>
            <w:r>
              <w:rPr>
                <w:spacing w:val="13"/>
              </w:rPr>
              <w:t>评价人员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BC10D1">
            <w:pPr>
              <w:spacing w:line="258" w:lineRule="auto"/>
            </w:pPr>
          </w:p>
          <w:p w:rsidR="00BC10D1" w:rsidRDefault="00CC60F9">
            <w:pPr>
              <w:pStyle w:val="TableText"/>
              <w:spacing w:before="62" w:line="228" w:lineRule="auto"/>
              <w:ind w:left="2280"/>
            </w:pPr>
            <w:proofErr w:type="spellStart"/>
            <w:r>
              <w:t>姓名</w:t>
            </w:r>
            <w:proofErr w:type="spellEnd"/>
          </w:p>
        </w:tc>
        <w:tc>
          <w:tcPr>
            <w:tcW w:w="1929" w:type="dxa"/>
          </w:tcPr>
          <w:p w:rsidR="00BC10D1" w:rsidRDefault="00BC10D1">
            <w:pPr>
              <w:spacing w:line="260" w:lineRule="auto"/>
            </w:pPr>
          </w:p>
          <w:p w:rsidR="00BC10D1" w:rsidRDefault="00CC60F9">
            <w:pPr>
              <w:pStyle w:val="TableText"/>
              <w:spacing w:before="62" w:line="230" w:lineRule="auto"/>
              <w:ind w:left="772"/>
            </w:pPr>
            <w:proofErr w:type="spellStart"/>
            <w:r>
              <w:rPr>
                <w:spacing w:val="6"/>
              </w:rPr>
              <w:t>备注</w:t>
            </w:r>
            <w:proofErr w:type="spellEnd"/>
          </w:p>
        </w:tc>
      </w:tr>
      <w:tr w:rsidR="00BC10D1">
        <w:trPr>
          <w:trHeight w:val="412"/>
        </w:trPr>
        <w:tc>
          <w:tcPr>
            <w:tcW w:w="1864" w:type="dxa"/>
            <w:gridSpan w:val="2"/>
          </w:tcPr>
          <w:p w:rsidR="00BC10D1" w:rsidRDefault="00CC60F9">
            <w:pPr>
              <w:pStyle w:val="TableText"/>
              <w:spacing w:before="121" w:line="228" w:lineRule="auto"/>
              <w:ind w:left="424"/>
            </w:pPr>
            <w:proofErr w:type="spellStart"/>
            <w:r>
              <w:rPr>
                <w:spacing w:val="13"/>
              </w:rPr>
              <w:t>项目负责人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20" w:line="230" w:lineRule="auto"/>
              <w:ind w:left="2290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马琳</w:t>
            </w:r>
            <w:proofErr w:type="gramStart"/>
            <w:r>
              <w:rPr>
                <w:rFonts w:hint="eastAsia"/>
                <w:spacing w:val="2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73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BC10D1" w:rsidRDefault="00BC10D1">
            <w:pPr>
              <w:spacing w:line="267" w:lineRule="auto"/>
            </w:pPr>
          </w:p>
          <w:p w:rsidR="00BC10D1" w:rsidRDefault="00BC10D1">
            <w:pPr>
              <w:spacing w:line="267" w:lineRule="auto"/>
            </w:pPr>
          </w:p>
          <w:p w:rsidR="00BC10D1" w:rsidRDefault="00BC10D1">
            <w:pPr>
              <w:spacing w:line="267" w:lineRule="auto"/>
            </w:pPr>
          </w:p>
          <w:p w:rsidR="00BC10D1" w:rsidRDefault="00CC60F9">
            <w:pPr>
              <w:pStyle w:val="TableText"/>
              <w:spacing w:before="62" w:line="229" w:lineRule="auto"/>
              <w:ind w:left="424"/>
            </w:pPr>
            <w:proofErr w:type="spellStart"/>
            <w:r>
              <w:rPr>
                <w:spacing w:val="13"/>
              </w:rPr>
              <w:t>项目组成员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52" w:line="230" w:lineRule="auto"/>
              <w:ind w:left="2276"/>
            </w:pPr>
            <w:proofErr w:type="spellStart"/>
            <w:r>
              <w:rPr>
                <w:spacing w:val="11"/>
              </w:rPr>
              <w:t>刘卫国</w:t>
            </w:r>
            <w:proofErr w:type="spell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5160" w:type="dxa"/>
            <w:gridSpan w:val="2"/>
          </w:tcPr>
          <w:p w:rsidR="00BC10D1" w:rsidRDefault="004D29C2">
            <w:pPr>
              <w:pStyle w:val="TableText"/>
              <w:spacing w:before="150" w:line="228" w:lineRule="auto"/>
              <w:ind w:left="2276"/>
            </w:pPr>
            <w:r>
              <w:rPr>
                <w:rFonts w:hint="eastAsia"/>
                <w:lang w:eastAsia="zh-CN"/>
              </w:rPr>
              <w:t>刘振忠</w:t>
            </w:r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52" w:line="227" w:lineRule="auto"/>
              <w:ind w:left="2384"/>
            </w:pPr>
            <w:proofErr w:type="spellStart"/>
            <w:r>
              <w:rPr>
                <w:spacing w:val="6"/>
              </w:rPr>
              <w:t>王静</w:t>
            </w:r>
            <w:proofErr w:type="spell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BC10D1" w:rsidRDefault="00BC10D1"/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51" w:line="229" w:lineRule="auto"/>
              <w:ind w:left="228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辛磊</w:t>
            </w:r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04"/>
        </w:trPr>
        <w:tc>
          <w:tcPr>
            <w:tcW w:w="1864" w:type="dxa"/>
            <w:gridSpan w:val="2"/>
          </w:tcPr>
          <w:p w:rsidR="00BC10D1" w:rsidRDefault="00CC60F9">
            <w:pPr>
              <w:pStyle w:val="TableText"/>
              <w:spacing w:before="114" w:line="227" w:lineRule="auto"/>
              <w:ind w:left="415"/>
            </w:pPr>
            <w:proofErr w:type="spellStart"/>
            <w:r>
              <w:rPr>
                <w:spacing w:val="15"/>
              </w:rPr>
              <w:t>报告编制人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16" w:line="230" w:lineRule="auto"/>
              <w:ind w:left="2290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马琳</w:t>
            </w:r>
            <w:proofErr w:type="gramStart"/>
            <w:r>
              <w:rPr>
                <w:rFonts w:hint="eastAsia"/>
                <w:spacing w:val="4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04"/>
        </w:trPr>
        <w:tc>
          <w:tcPr>
            <w:tcW w:w="1864" w:type="dxa"/>
            <w:gridSpan w:val="2"/>
          </w:tcPr>
          <w:p w:rsidR="00BC10D1" w:rsidRDefault="00CC60F9">
            <w:pPr>
              <w:pStyle w:val="TableText"/>
              <w:spacing w:before="116" w:line="227" w:lineRule="auto"/>
              <w:ind w:left="415"/>
            </w:pPr>
            <w:proofErr w:type="spellStart"/>
            <w:r>
              <w:rPr>
                <w:spacing w:val="15"/>
              </w:rPr>
              <w:t>报告审核人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18" w:line="228" w:lineRule="auto"/>
              <w:ind w:left="2382"/>
            </w:pPr>
            <w:proofErr w:type="spellStart"/>
            <w:r>
              <w:rPr>
                <w:spacing w:val="6"/>
              </w:rPr>
              <w:t>崔强</w:t>
            </w:r>
            <w:proofErr w:type="spell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29"/>
        </w:trPr>
        <w:tc>
          <w:tcPr>
            <w:tcW w:w="1864" w:type="dxa"/>
            <w:gridSpan w:val="2"/>
          </w:tcPr>
          <w:p w:rsidR="00BC10D1" w:rsidRDefault="00CC60F9">
            <w:pPr>
              <w:pStyle w:val="TableText"/>
              <w:spacing w:before="129" w:line="228" w:lineRule="auto"/>
              <w:ind w:left="211"/>
            </w:pPr>
            <w:proofErr w:type="spellStart"/>
            <w:r>
              <w:rPr>
                <w:spacing w:val="15"/>
              </w:rPr>
              <w:t>过程控制负责人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31" w:line="230" w:lineRule="auto"/>
              <w:ind w:left="2276"/>
            </w:pPr>
            <w:proofErr w:type="spellStart"/>
            <w:r>
              <w:rPr>
                <w:spacing w:val="11"/>
              </w:rPr>
              <w:t>刘云红</w:t>
            </w:r>
            <w:proofErr w:type="spell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04"/>
        </w:trPr>
        <w:tc>
          <w:tcPr>
            <w:tcW w:w="1864" w:type="dxa"/>
            <w:gridSpan w:val="2"/>
          </w:tcPr>
          <w:p w:rsidR="00BC10D1" w:rsidRDefault="00CC60F9">
            <w:pPr>
              <w:pStyle w:val="TableText"/>
              <w:spacing w:before="115" w:line="228" w:lineRule="auto"/>
              <w:ind w:left="420"/>
            </w:pPr>
            <w:proofErr w:type="spellStart"/>
            <w:r>
              <w:rPr>
                <w:spacing w:val="13"/>
              </w:rPr>
              <w:t>技术负责人</w:t>
            </w:r>
            <w:proofErr w:type="spellEnd"/>
          </w:p>
        </w:tc>
        <w:tc>
          <w:tcPr>
            <w:tcW w:w="5160" w:type="dxa"/>
            <w:gridSpan w:val="2"/>
          </w:tcPr>
          <w:p w:rsidR="00BC10D1" w:rsidRDefault="00CC60F9">
            <w:pPr>
              <w:pStyle w:val="TableText"/>
              <w:spacing w:before="116" w:line="227" w:lineRule="auto"/>
              <w:ind w:left="2278"/>
            </w:pPr>
            <w:proofErr w:type="spellStart"/>
            <w:r>
              <w:rPr>
                <w:spacing w:val="8"/>
              </w:rPr>
              <w:t>孙虎</w:t>
            </w:r>
            <w:proofErr w:type="spellEnd"/>
          </w:p>
        </w:tc>
        <w:tc>
          <w:tcPr>
            <w:tcW w:w="1929" w:type="dxa"/>
          </w:tcPr>
          <w:p w:rsidR="00BC10D1" w:rsidRDefault="00BC10D1"/>
        </w:tc>
      </w:tr>
      <w:tr w:rsidR="00BC10D1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BC10D1" w:rsidRDefault="00CC60F9">
            <w:pPr>
              <w:pStyle w:val="TableText"/>
              <w:spacing w:before="282" w:line="228" w:lineRule="auto"/>
              <w:ind w:left="525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技术专家</w:t>
            </w:r>
          </w:p>
          <w:p w:rsidR="00BC10D1" w:rsidRDefault="00CC60F9">
            <w:pPr>
              <w:pStyle w:val="TableText"/>
              <w:spacing w:before="77" w:line="228" w:lineRule="auto"/>
              <w:ind w:left="215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或有关技术人员</w:t>
            </w:r>
          </w:p>
        </w:tc>
        <w:tc>
          <w:tcPr>
            <w:tcW w:w="5160" w:type="dxa"/>
            <w:gridSpan w:val="2"/>
          </w:tcPr>
          <w:p w:rsidR="00BC10D1" w:rsidRDefault="00BC10D1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BC10D1" w:rsidRDefault="00BC10D1">
            <w:pPr>
              <w:rPr>
                <w:lang w:eastAsia="zh-CN"/>
              </w:rPr>
            </w:pPr>
          </w:p>
        </w:tc>
      </w:tr>
      <w:tr w:rsidR="00BC10D1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BC10D1" w:rsidRDefault="00BC10D1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BC10D1" w:rsidRDefault="00BC10D1">
            <w:pPr>
              <w:rPr>
                <w:lang w:eastAsia="zh-CN"/>
              </w:rPr>
            </w:pPr>
          </w:p>
        </w:tc>
      </w:tr>
      <w:tr w:rsidR="00BC10D1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BC10D1" w:rsidRDefault="00BC10D1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BC10D1" w:rsidRDefault="00BC10D1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BC10D1" w:rsidRDefault="00BC10D1">
            <w:pPr>
              <w:rPr>
                <w:lang w:eastAsia="zh-CN"/>
              </w:rPr>
            </w:pPr>
          </w:p>
        </w:tc>
      </w:tr>
      <w:tr w:rsidR="00BC10D1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BC10D1" w:rsidRDefault="00BC10D1">
            <w:pPr>
              <w:spacing w:line="287" w:lineRule="auto"/>
              <w:rPr>
                <w:lang w:eastAsia="zh-CN"/>
              </w:rPr>
            </w:pPr>
          </w:p>
          <w:p w:rsidR="00BC10D1" w:rsidRDefault="00BC10D1">
            <w:pPr>
              <w:spacing w:line="287" w:lineRule="auto"/>
              <w:rPr>
                <w:lang w:eastAsia="zh-CN"/>
              </w:rPr>
            </w:pPr>
          </w:p>
          <w:p w:rsidR="00BC10D1" w:rsidRDefault="00BC10D1">
            <w:pPr>
              <w:spacing w:line="288" w:lineRule="auto"/>
              <w:rPr>
                <w:lang w:eastAsia="zh-CN"/>
              </w:rPr>
            </w:pPr>
          </w:p>
          <w:p w:rsidR="00BC10D1" w:rsidRDefault="00CC60F9">
            <w:pPr>
              <w:pStyle w:val="TableText"/>
              <w:spacing w:before="62" w:line="271" w:lineRule="auto"/>
              <w:ind w:left="312" w:right="211" w:hanging="92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到现场开展安全</w:t>
            </w:r>
            <w:r>
              <w:rPr>
                <w:spacing w:val="15"/>
                <w:lang w:eastAsia="zh-CN"/>
              </w:rPr>
              <w:t>评价工作情况</w:t>
            </w:r>
          </w:p>
        </w:tc>
        <w:tc>
          <w:tcPr>
            <w:tcW w:w="1661" w:type="dxa"/>
          </w:tcPr>
          <w:p w:rsidR="00BC10D1" w:rsidRDefault="00CC60F9">
            <w:pPr>
              <w:pStyle w:val="TableText"/>
              <w:spacing w:before="118" w:line="230" w:lineRule="auto"/>
              <w:ind w:left="547"/>
            </w:pPr>
            <w:proofErr w:type="spellStart"/>
            <w:r>
              <w:rPr>
                <w:spacing w:val="-5"/>
              </w:rPr>
              <w:t>时间</w:t>
            </w:r>
            <w:proofErr w:type="spellEnd"/>
          </w:p>
        </w:tc>
        <w:tc>
          <w:tcPr>
            <w:tcW w:w="3499" w:type="dxa"/>
          </w:tcPr>
          <w:p w:rsidR="00BC10D1" w:rsidRDefault="00CC60F9">
            <w:pPr>
              <w:pStyle w:val="TableText"/>
              <w:spacing w:before="117" w:line="229" w:lineRule="auto"/>
              <w:ind w:left="1039"/>
            </w:pPr>
            <w:proofErr w:type="spellStart"/>
            <w:r>
              <w:rPr>
                <w:spacing w:val="13"/>
              </w:rPr>
              <w:t>到现场主要人员</w:t>
            </w:r>
            <w:proofErr w:type="spellEnd"/>
          </w:p>
        </w:tc>
        <w:tc>
          <w:tcPr>
            <w:tcW w:w="1929" w:type="dxa"/>
          </w:tcPr>
          <w:p w:rsidR="00BC10D1" w:rsidRDefault="00CC60F9">
            <w:pPr>
              <w:pStyle w:val="TableText"/>
              <w:spacing w:before="115" w:line="228" w:lineRule="auto"/>
              <w:ind w:left="560"/>
            </w:pPr>
            <w:proofErr w:type="spellStart"/>
            <w:r>
              <w:rPr>
                <w:spacing w:val="11"/>
              </w:rPr>
              <w:t>主要任务</w:t>
            </w:r>
            <w:proofErr w:type="spellEnd"/>
          </w:p>
        </w:tc>
      </w:tr>
      <w:tr w:rsidR="00BC10D1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1661" w:type="dxa"/>
          </w:tcPr>
          <w:p w:rsidR="00BC10D1" w:rsidRDefault="00CC60F9">
            <w:pPr>
              <w:spacing w:before="182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9"/>
                <w:szCs w:val="19"/>
                <w:lang w:eastAsia="zh-CN"/>
              </w:rPr>
              <w:t>2024.8.10</w:t>
            </w:r>
          </w:p>
        </w:tc>
        <w:tc>
          <w:tcPr>
            <w:tcW w:w="3499" w:type="dxa"/>
          </w:tcPr>
          <w:p w:rsidR="00BC10D1" w:rsidRDefault="00CC60F9">
            <w:pPr>
              <w:pStyle w:val="TableText"/>
              <w:spacing w:before="149" w:line="230" w:lineRule="auto"/>
              <w:ind w:left="1308"/>
              <w:rPr>
                <w:lang w:eastAsia="zh-CN"/>
              </w:rPr>
            </w:pPr>
            <w:proofErr w:type="spellStart"/>
            <w:r>
              <w:rPr>
                <w:spacing w:val="6"/>
              </w:rPr>
              <w:t>辛磊</w:t>
            </w:r>
            <w:proofErr w:type="spellEnd"/>
            <w:r>
              <w:rPr>
                <w:rFonts w:hint="eastAsia"/>
                <w:spacing w:val="6"/>
                <w:lang w:eastAsia="zh-CN"/>
              </w:rPr>
              <w:t xml:space="preserve">  </w:t>
            </w:r>
            <w:r>
              <w:rPr>
                <w:rFonts w:hint="eastAsia"/>
                <w:spacing w:val="15"/>
                <w:lang w:eastAsia="zh-CN"/>
              </w:rPr>
              <w:t>马琳</w:t>
            </w:r>
            <w:proofErr w:type="gramStart"/>
            <w:r>
              <w:rPr>
                <w:rFonts w:hint="eastAsia"/>
                <w:spacing w:val="15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CC60F9">
            <w:pPr>
              <w:pStyle w:val="TableText"/>
              <w:spacing w:before="152" w:line="229" w:lineRule="auto"/>
              <w:ind w:left="764"/>
            </w:pPr>
            <w:proofErr w:type="spellStart"/>
            <w:r>
              <w:rPr>
                <w:spacing w:val="8"/>
              </w:rPr>
              <w:t>初访</w:t>
            </w:r>
            <w:proofErr w:type="spellEnd"/>
          </w:p>
        </w:tc>
      </w:tr>
      <w:tr w:rsidR="00BC10D1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1661" w:type="dxa"/>
          </w:tcPr>
          <w:p w:rsidR="00BC10D1" w:rsidRDefault="00CC60F9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6"/>
                <w:sz w:val="19"/>
                <w:szCs w:val="19"/>
                <w:lang w:eastAsia="zh-CN"/>
              </w:rPr>
              <w:t>2024.8.22</w:t>
            </w:r>
          </w:p>
        </w:tc>
        <w:tc>
          <w:tcPr>
            <w:tcW w:w="3499" w:type="dxa"/>
          </w:tcPr>
          <w:p w:rsidR="00BC10D1" w:rsidRDefault="00CC60F9">
            <w:pPr>
              <w:spacing w:before="149" w:line="229" w:lineRule="auto"/>
              <w:ind w:left="1330"/>
              <w:rPr>
                <w:rFonts w:ascii="宋体" w:eastAsia="宋体" w:hAnsi="宋体" w:cs="宋体"/>
                <w:spacing w:val="6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辛磊</w:t>
            </w:r>
            <w:proofErr w:type="spellEnd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马琳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CC60F9">
            <w:pPr>
              <w:pStyle w:val="TableText"/>
              <w:spacing w:before="151" w:line="228" w:lineRule="auto"/>
              <w:ind w:left="560"/>
            </w:pPr>
            <w:proofErr w:type="spellStart"/>
            <w:r>
              <w:rPr>
                <w:spacing w:val="11"/>
              </w:rPr>
              <w:t>现场考察</w:t>
            </w:r>
            <w:proofErr w:type="spellEnd"/>
          </w:p>
        </w:tc>
      </w:tr>
      <w:tr w:rsidR="00BC10D1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1661" w:type="dxa"/>
          </w:tcPr>
          <w:p w:rsidR="00BC10D1" w:rsidRDefault="00CC60F9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9"/>
                <w:szCs w:val="19"/>
                <w:lang w:eastAsia="zh-CN"/>
              </w:rPr>
              <w:t>2024.8.27</w:t>
            </w:r>
          </w:p>
        </w:tc>
        <w:tc>
          <w:tcPr>
            <w:tcW w:w="3499" w:type="dxa"/>
          </w:tcPr>
          <w:p w:rsidR="00BC10D1" w:rsidRDefault="00CC60F9">
            <w:pPr>
              <w:spacing w:before="150" w:line="229" w:lineRule="auto"/>
              <w:ind w:left="1330"/>
              <w:rPr>
                <w:rFonts w:ascii="宋体" w:eastAsia="宋体" w:hAnsi="宋体" w:cs="宋体"/>
                <w:spacing w:val="6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辛磊</w:t>
            </w:r>
            <w:proofErr w:type="spellEnd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马琳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CC60F9">
            <w:pPr>
              <w:pStyle w:val="TableText"/>
              <w:spacing w:before="151" w:line="228" w:lineRule="auto"/>
              <w:ind w:left="560"/>
            </w:pPr>
            <w:proofErr w:type="spellStart"/>
            <w:r>
              <w:rPr>
                <w:spacing w:val="11"/>
              </w:rPr>
              <w:t>现场检查</w:t>
            </w:r>
            <w:proofErr w:type="spellEnd"/>
          </w:p>
        </w:tc>
      </w:tr>
      <w:tr w:rsidR="00BC10D1">
        <w:trPr>
          <w:trHeight w:val="473"/>
        </w:trPr>
        <w:tc>
          <w:tcPr>
            <w:tcW w:w="1864" w:type="dxa"/>
            <w:gridSpan w:val="2"/>
            <w:tcBorders>
              <w:top w:val="nil"/>
              <w:bottom w:val="nil"/>
            </w:tcBorders>
          </w:tcPr>
          <w:p w:rsidR="00BC10D1" w:rsidRDefault="00BC10D1"/>
        </w:tc>
        <w:tc>
          <w:tcPr>
            <w:tcW w:w="1661" w:type="dxa"/>
          </w:tcPr>
          <w:p w:rsidR="00BC10D1" w:rsidRDefault="00CC60F9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pacing w:val="5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9"/>
                <w:szCs w:val="19"/>
                <w:lang w:eastAsia="zh-CN"/>
              </w:rPr>
              <w:t>2024.10.10</w:t>
            </w:r>
          </w:p>
        </w:tc>
        <w:tc>
          <w:tcPr>
            <w:tcW w:w="3499" w:type="dxa"/>
          </w:tcPr>
          <w:p w:rsidR="00BC10D1" w:rsidRDefault="00CC60F9">
            <w:pPr>
              <w:spacing w:before="150" w:line="229" w:lineRule="auto"/>
              <w:ind w:left="1330"/>
              <w:rPr>
                <w:rFonts w:ascii="宋体" w:eastAsia="宋体" w:hAnsi="宋体" w:cs="宋体"/>
                <w:spacing w:val="6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辛磊</w:t>
            </w:r>
            <w:proofErr w:type="spellEnd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马琳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  <w:lang w:eastAsia="zh-CN"/>
              </w:rPr>
              <w:t>琳</w:t>
            </w:r>
            <w:proofErr w:type="gramEnd"/>
          </w:p>
        </w:tc>
        <w:tc>
          <w:tcPr>
            <w:tcW w:w="1929" w:type="dxa"/>
          </w:tcPr>
          <w:p w:rsidR="00BC10D1" w:rsidRDefault="00CC60F9">
            <w:pPr>
              <w:pStyle w:val="TableText"/>
              <w:spacing w:before="151" w:line="228" w:lineRule="auto"/>
              <w:ind w:left="560"/>
              <w:rPr>
                <w:spacing w:val="11"/>
                <w:lang w:eastAsia="zh-CN"/>
              </w:rPr>
            </w:pPr>
            <w:proofErr w:type="spellStart"/>
            <w:r>
              <w:rPr>
                <w:spacing w:val="11"/>
              </w:rPr>
              <w:t>现场</w:t>
            </w:r>
            <w:proofErr w:type="spellEnd"/>
            <w:r>
              <w:rPr>
                <w:rFonts w:hint="eastAsia"/>
                <w:spacing w:val="11"/>
                <w:lang w:eastAsia="zh-CN"/>
              </w:rPr>
              <w:t>核查</w:t>
            </w:r>
          </w:p>
        </w:tc>
      </w:tr>
      <w:tr w:rsidR="00BC10D1">
        <w:trPr>
          <w:trHeight w:val="404"/>
        </w:trPr>
        <w:tc>
          <w:tcPr>
            <w:tcW w:w="8953" w:type="dxa"/>
            <w:gridSpan w:val="5"/>
          </w:tcPr>
          <w:p w:rsidR="00BC10D1" w:rsidRDefault="00CC60F9">
            <w:pPr>
              <w:pStyle w:val="TableText"/>
              <w:spacing w:before="119" w:line="227" w:lineRule="auto"/>
              <w:ind w:left="130"/>
              <w:rPr>
                <w:rFonts w:ascii="Times New Roman" w:hAnsi="Times New Roman" w:cs="Times New Roman"/>
                <w:lang w:eastAsia="zh-CN"/>
              </w:rPr>
            </w:pPr>
            <w:r>
              <w:rPr>
                <w:spacing w:val="10"/>
                <w:lang w:eastAsia="zh-CN"/>
              </w:rPr>
              <w:t>安全评价报告提交时间：</w:t>
            </w:r>
            <w:r>
              <w:rPr>
                <w:rFonts w:ascii="Times New Roman" w:eastAsia="Times New Roman" w:hAnsi="Times New Roman" w:cs="Times New Roman"/>
                <w:spacing w:val="10"/>
                <w:lang w:eastAsia="zh-CN"/>
              </w:rPr>
              <w:t>202</w:t>
            </w:r>
            <w:r w:rsidR="00DC77D3">
              <w:rPr>
                <w:rFonts w:ascii="Times New Roman" w:hAnsi="Times New Roman" w:cs="Times New Roman" w:hint="eastAsia"/>
                <w:spacing w:val="10"/>
                <w:lang w:eastAsia="zh-CN"/>
              </w:rPr>
              <w:t>4.12.</w:t>
            </w:r>
            <w:r>
              <w:rPr>
                <w:rFonts w:ascii="Times New Roman" w:hAnsi="Times New Roman" w:cs="Times New Roman" w:hint="eastAsia"/>
                <w:spacing w:val="10"/>
                <w:lang w:eastAsia="zh-CN"/>
              </w:rPr>
              <w:t>5</w:t>
            </w:r>
          </w:p>
        </w:tc>
      </w:tr>
      <w:tr w:rsidR="00BC10D1">
        <w:trPr>
          <w:trHeight w:val="435"/>
        </w:trPr>
        <w:tc>
          <w:tcPr>
            <w:tcW w:w="8953" w:type="dxa"/>
            <w:gridSpan w:val="5"/>
          </w:tcPr>
          <w:p w:rsidR="00BC10D1" w:rsidRDefault="00CC60F9">
            <w:pPr>
              <w:pStyle w:val="TableText"/>
              <w:spacing w:before="132" w:line="228" w:lineRule="auto"/>
              <w:ind w:left="12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有必要公开的其它内容：</w:t>
            </w:r>
          </w:p>
        </w:tc>
      </w:tr>
    </w:tbl>
    <w:p w:rsidR="00BC10D1" w:rsidRDefault="00BC10D1">
      <w:pPr>
        <w:spacing w:line="234" w:lineRule="exact"/>
        <w:rPr>
          <w:sz w:val="20"/>
          <w:lang w:eastAsia="zh-CN"/>
        </w:rPr>
      </w:pPr>
    </w:p>
    <w:p w:rsidR="00BC10D1" w:rsidRDefault="00BC10D1">
      <w:pPr>
        <w:spacing w:line="234" w:lineRule="exact"/>
        <w:rPr>
          <w:sz w:val="20"/>
          <w:szCs w:val="20"/>
          <w:lang w:eastAsia="zh-CN"/>
        </w:rPr>
        <w:sectPr w:rsidR="00BC10D1">
          <w:pgSz w:w="11906" w:h="16840"/>
          <w:pgMar w:top="1431" w:right="1472" w:bottom="0" w:left="1474" w:header="0" w:footer="0" w:gutter="0"/>
          <w:cols w:space="720"/>
        </w:sectPr>
      </w:pPr>
    </w:p>
    <w:p w:rsidR="00BC10D1" w:rsidRDefault="00CC60F9">
      <w:pPr>
        <w:spacing w:line="14889" w:lineRule="exact"/>
        <w:rPr>
          <w:rFonts w:eastAsia="宋体"/>
          <w:lang w:eastAsia="zh-CN"/>
        </w:rPr>
        <w:sectPr w:rsidR="00BC10D1">
          <w:pgSz w:w="11906" w:h="16840"/>
          <w:pgMar w:top="1324" w:right="1621" w:bottom="0" w:left="1785" w:header="0" w:footer="0" w:gutter="0"/>
          <w:cols w:space="720"/>
        </w:sectPr>
      </w:pPr>
      <w:r>
        <w:rPr>
          <w:rFonts w:eastAsia="宋体" w:hint="eastAsia"/>
          <w:noProof/>
          <w:lang w:eastAsia="zh-CN"/>
        </w:rPr>
        <w:lastRenderedPageBreak/>
        <w:drawing>
          <wp:inline distT="0" distB="0" distL="114300" distR="114300">
            <wp:extent cx="5396865" cy="7198360"/>
            <wp:effectExtent l="0" t="0" r="13335" b="2540"/>
            <wp:docPr id="9" name="图片 9" descr="a09c1a1f9e0866ab67fbb16f1a75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09c1a1f9e0866ab67fbb16f1a75e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0D1" w:rsidRDefault="00CC60F9">
      <w:pPr>
        <w:spacing w:line="14803" w:lineRule="exact"/>
        <w:ind w:firstLine="146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inline distT="0" distB="0" distL="114300" distR="114300">
            <wp:extent cx="5372735" cy="7165975"/>
            <wp:effectExtent l="0" t="0" r="18415" b="15875"/>
            <wp:docPr id="10" name="图片 10" descr="64648908e0aeb3db73e5144b04be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4648908e0aeb3db73e5144b04be4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71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0D1" w:rsidRDefault="00BC10D1">
      <w:pPr>
        <w:spacing w:line="14803" w:lineRule="exact"/>
        <w:rPr>
          <w:rFonts w:eastAsia="宋体"/>
          <w:lang w:eastAsia="zh-CN"/>
        </w:rPr>
        <w:sectPr w:rsidR="00BC10D1">
          <w:pgSz w:w="11906" w:h="16840"/>
          <w:pgMar w:top="1339" w:right="1645" w:bottom="0" w:left="1785" w:header="0" w:footer="0" w:gutter="0"/>
          <w:cols w:space="720"/>
        </w:sectPr>
      </w:pPr>
    </w:p>
    <w:p w:rsidR="00BC10D1" w:rsidRDefault="00CC60F9">
      <w:pPr>
        <w:spacing w:line="14090" w:lineRule="exact"/>
        <w:rPr>
          <w:rFonts w:eastAsia="宋体"/>
          <w:lang w:eastAsia="zh-CN"/>
        </w:rPr>
        <w:sectPr w:rsidR="00BC10D1">
          <w:pgSz w:w="11906" w:h="16840"/>
          <w:pgMar w:top="1431" w:right="637" w:bottom="0" w:left="518" w:header="0" w:footer="0" w:gutter="0"/>
          <w:cols w:space="720"/>
        </w:sect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566420</wp:posOffset>
            </wp:positionV>
            <wp:extent cx="6822440" cy="9099550"/>
            <wp:effectExtent l="0" t="0" r="16510" b="6350"/>
            <wp:wrapNone/>
            <wp:docPr id="11" name="图片 11" descr="0a4cc3ddfa66ea4e1dd9c14a8693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a4cc3ddfa66ea4e1dd9c14a8693e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909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0D1" w:rsidRDefault="00CC60F9">
      <w:pPr>
        <w:spacing w:before="168" w:line="226" w:lineRule="auto"/>
        <w:ind w:left="3324"/>
        <w:outlineLvl w:val="0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spacing w:val="15"/>
          <w:sz w:val="30"/>
          <w:szCs w:val="30"/>
        </w:rPr>
        <w:lastRenderedPageBreak/>
        <w:t>加油站现场照片</w:t>
      </w:r>
      <w:proofErr w:type="spellEnd"/>
    </w:p>
    <w:p w:rsidR="00BC10D1" w:rsidRDefault="00BC10D1">
      <w:pPr>
        <w:spacing w:line="252" w:lineRule="auto"/>
        <w:rPr>
          <w:rFonts w:eastAsia="宋体"/>
          <w:lang w:eastAsia="zh-CN"/>
        </w:rPr>
      </w:pPr>
    </w:p>
    <w:p w:rsidR="00BC10D1" w:rsidRDefault="00CC60F9">
      <w:pPr>
        <w:spacing w:line="252" w:lineRule="auto"/>
        <w:rPr>
          <w:rFonts w:eastAsia="宋体"/>
          <w:lang w:eastAsia="zh-CN"/>
        </w:rPr>
      </w:pPr>
      <w:r>
        <w:rPr>
          <w:noProof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4429760</wp:posOffset>
            </wp:positionV>
            <wp:extent cx="5815330" cy="3782060"/>
            <wp:effectExtent l="0" t="0" r="13970" b="8890"/>
            <wp:wrapNone/>
            <wp:docPr id="13" name="图片 13" descr="加油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加油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noProof/>
          <w:lang w:eastAsia="zh-CN"/>
        </w:rPr>
        <w:drawing>
          <wp:inline distT="0" distB="0" distL="114300" distR="114300">
            <wp:extent cx="5817235" cy="4362450"/>
            <wp:effectExtent l="0" t="0" r="12065" b="0"/>
            <wp:docPr id="12" name="图片 12" descr="加油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加油机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0D1" w:rsidRDefault="00CC60F9">
      <w:pPr>
        <w:pStyle w:val="1"/>
        <w:widowControl w:val="0"/>
        <w:adjustRightInd w:val="0"/>
        <w:snapToGrid w:val="0"/>
        <w:spacing w:beforeLines="0" w:before="0" w:afterLines="0" w:after="0" w:line="360" w:lineRule="auto"/>
      </w:pPr>
      <w:bookmarkStart w:id="0" w:name="_Toc102633969"/>
      <w:bookmarkStart w:id="1" w:name="_Toc102633895"/>
      <w:bookmarkStart w:id="2" w:name="_Toc102634395"/>
      <w:bookmarkStart w:id="3" w:name="_Toc15033742"/>
      <w:bookmarkStart w:id="4" w:name="_Toc102634226"/>
      <w:r>
        <w:lastRenderedPageBreak/>
        <w:t>第二章</w:t>
      </w:r>
      <w:r>
        <w:t xml:space="preserve"> </w:t>
      </w:r>
      <w:r>
        <w:t>加油站概况</w:t>
      </w:r>
      <w:bookmarkEnd w:id="0"/>
      <w:bookmarkEnd w:id="1"/>
      <w:bookmarkEnd w:id="2"/>
      <w:bookmarkEnd w:id="3"/>
      <w:bookmarkEnd w:id="4"/>
    </w:p>
    <w:p w:rsidR="00BC10D1" w:rsidRDefault="00CC60F9">
      <w:pPr>
        <w:spacing w:line="360" w:lineRule="auto"/>
        <w:jc w:val="center"/>
        <w:outlineLvl w:val="1"/>
        <w:rPr>
          <w:rFonts w:ascii="Calibri" w:eastAsia="楷体_GB2312" w:hAnsi="Calibri"/>
          <w:b/>
          <w:color w:val="auto"/>
          <w:sz w:val="32"/>
          <w:szCs w:val="20"/>
          <w:lang w:eastAsia="zh-CN"/>
        </w:rPr>
      </w:pPr>
      <w:bookmarkStart w:id="5" w:name="_Toc208733856"/>
      <w:bookmarkStart w:id="6" w:name="_Toc30066"/>
      <w:bookmarkStart w:id="7" w:name="_Toc102634396"/>
      <w:bookmarkStart w:id="8" w:name="_Toc15033743"/>
      <w:bookmarkStart w:id="9" w:name="_Toc102633970"/>
      <w:bookmarkStart w:id="10" w:name="_Toc272364524"/>
      <w:bookmarkStart w:id="11" w:name="_Toc102634227"/>
      <w:bookmarkStart w:id="12" w:name="_Toc102633896"/>
      <w:bookmarkStart w:id="13" w:name="_Toc26504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第一节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 xml:space="preserve"> 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加油站基本情况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auto"/>
          <w:sz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庆祥企业管理（新泰市）</w:t>
      </w:r>
      <w:proofErr w:type="gramStart"/>
      <w:r>
        <w:rPr>
          <w:rFonts w:ascii="宋体" w:hAnsi="宋体" w:hint="eastAsia"/>
          <w:color w:val="auto"/>
          <w:sz w:val="28"/>
          <w:szCs w:val="28"/>
          <w:lang w:eastAsia="zh-CN"/>
        </w:rPr>
        <w:t>有限公司京化加油</w:t>
      </w:r>
      <w:proofErr w:type="gramEnd"/>
      <w:r>
        <w:rPr>
          <w:rFonts w:ascii="宋体" w:hAnsi="宋体" w:hint="eastAsia"/>
          <w:color w:val="auto"/>
          <w:sz w:val="28"/>
          <w:szCs w:val="28"/>
          <w:lang w:eastAsia="zh-CN"/>
        </w:rPr>
        <w:t>站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位于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山东省泰安市新泰市青云街道新兴路北段东侧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幢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号</w:t>
      </w:r>
      <w:r>
        <w:rPr>
          <w:rFonts w:ascii="宋体" w:hAnsi="宋体" w:cs="宋体" w:hint="eastAsia"/>
          <w:color w:val="auto"/>
          <w:sz w:val="28"/>
          <w:lang w:eastAsia="zh-CN"/>
        </w:rPr>
        <w:t>，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加油站北侧是汽修厂厂房（戊类，无明火）、民房（二类保护物）、杆式变压器，南侧为民房（三类保护物）、汽车检测中心（三类保护物），西侧是新兴路、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10KV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架空电力线（杆高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12m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），东侧是加气站（甲类）。</w:t>
      </w:r>
      <w:r>
        <w:rPr>
          <w:rFonts w:ascii="宋体" w:hAnsi="宋体" w:hint="eastAsia"/>
          <w:color w:val="auto"/>
          <w:sz w:val="28"/>
          <w:lang w:eastAsia="zh-CN"/>
        </w:rPr>
        <w:t>该站经营许可范围为汽油、柴油，现</w:t>
      </w:r>
      <w:r>
        <w:rPr>
          <w:rFonts w:ascii="宋体" w:hAnsi="宋体" w:hint="eastAsia"/>
          <w:color w:val="auto"/>
          <w:sz w:val="28"/>
          <w:lang w:eastAsia="zh-CN"/>
        </w:rPr>
        <w:t>其主要</w:t>
      </w:r>
      <w:r>
        <w:rPr>
          <w:rFonts w:ascii="宋体" w:hAnsi="宋体" w:hint="eastAsia"/>
          <w:color w:val="auto"/>
          <w:sz w:val="28"/>
          <w:lang w:eastAsia="zh-CN"/>
        </w:rPr>
        <w:t>储存</w:t>
      </w:r>
      <w:r>
        <w:rPr>
          <w:rFonts w:ascii="宋体" w:hAnsi="宋体" w:hint="eastAsia"/>
          <w:color w:val="auto"/>
          <w:sz w:val="28"/>
          <w:lang w:eastAsia="zh-CN"/>
        </w:rPr>
        <w:t>经营</w:t>
      </w:r>
      <w:r>
        <w:rPr>
          <w:rFonts w:ascii="宋体" w:hAnsi="宋体" w:hint="eastAsia"/>
          <w:color w:val="auto"/>
          <w:sz w:val="28"/>
          <w:lang w:eastAsia="zh-CN"/>
        </w:rPr>
        <w:t>汽油</w:t>
      </w:r>
      <w:r>
        <w:rPr>
          <w:rFonts w:ascii="宋体" w:hAnsi="宋体" w:hint="eastAsia"/>
          <w:color w:val="auto"/>
          <w:sz w:val="28"/>
          <w:lang w:eastAsia="zh-CN"/>
        </w:rPr>
        <w:t>、</w:t>
      </w:r>
      <w:r>
        <w:rPr>
          <w:rFonts w:ascii="宋体" w:hAnsi="宋体" w:hint="eastAsia"/>
          <w:color w:val="auto"/>
          <w:sz w:val="28"/>
          <w:lang w:eastAsia="zh-CN"/>
        </w:rPr>
        <w:t>柴油</w:t>
      </w:r>
      <w:r>
        <w:rPr>
          <w:rFonts w:ascii="宋体" w:hAnsi="宋体" w:hint="eastAsia"/>
          <w:color w:val="auto"/>
          <w:sz w:val="28"/>
          <w:lang w:eastAsia="zh-CN"/>
        </w:rPr>
        <w:t>（</w:t>
      </w:r>
      <w:r>
        <w:rPr>
          <w:rFonts w:ascii="宋体" w:hAnsi="宋体" w:hint="eastAsia"/>
          <w:color w:val="auto"/>
          <w:sz w:val="28"/>
          <w:lang w:eastAsia="zh-CN"/>
        </w:rPr>
        <w:t>0#</w:t>
      </w:r>
      <w:r>
        <w:rPr>
          <w:rFonts w:ascii="宋体" w:hAnsi="宋体" w:hint="eastAsia"/>
          <w:color w:val="auto"/>
          <w:sz w:val="28"/>
          <w:lang w:eastAsia="zh-CN"/>
        </w:rPr>
        <w:t>与</w:t>
      </w:r>
      <w:r>
        <w:rPr>
          <w:rFonts w:ascii="宋体" w:hAnsi="宋体" w:hint="eastAsia"/>
          <w:color w:val="auto"/>
          <w:sz w:val="28"/>
          <w:lang w:eastAsia="zh-CN"/>
        </w:rPr>
        <w:t>-10#</w:t>
      </w:r>
      <w:r>
        <w:rPr>
          <w:rFonts w:ascii="宋体" w:hAnsi="宋体" w:hint="eastAsia"/>
          <w:color w:val="auto"/>
          <w:sz w:val="28"/>
          <w:lang w:eastAsia="zh-CN"/>
        </w:rPr>
        <w:t>换季销售）</w:t>
      </w:r>
      <w:r>
        <w:rPr>
          <w:rFonts w:ascii="宋体" w:hAnsi="宋体" w:hint="eastAsia"/>
          <w:color w:val="auto"/>
          <w:sz w:val="28"/>
          <w:lang w:eastAsia="zh-CN"/>
        </w:rPr>
        <w:t>。</w:t>
      </w:r>
    </w:p>
    <w:p w:rsidR="00BC10D1" w:rsidRDefault="00CC60F9">
      <w:pPr>
        <w:spacing w:line="360" w:lineRule="auto"/>
        <w:ind w:firstLineChars="200" w:firstLine="560"/>
        <w:rPr>
          <w:rFonts w:ascii="宋体"/>
          <w:color w:val="000000" w:themeColor="text1"/>
          <w:lang w:eastAsia="zh-CN"/>
        </w:rPr>
      </w:pPr>
      <w:r>
        <w:rPr>
          <w:rFonts w:ascii="宋体" w:hAnsi="宋体" w:hint="eastAsia"/>
          <w:color w:val="000000" w:themeColor="text1"/>
          <w:sz w:val="28"/>
          <w:lang w:eastAsia="zh-CN"/>
        </w:rPr>
        <w:t>此次现状评价报告与三年前报告相比，总平面布置的变化为站房南侧新建洗车棚，新增</w:t>
      </w:r>
      <w:r>
        <w:rPr>
          <w:rFonts w:ascii="宋体" w:hAnsi="宋体" w:hint="eastAsia"/>
          <w:color w:val="000000" w:themeColor="text1"/>
          <w:sz w:val="28"/>
          <w:lang w:eastAsia="zh-CN"/>
        </w:rPr>
        <w:t>3</w:t>
      </w:r>
      <w:r>
        <w:rPr>
          <w:rFonts w:ascii="宋体" w:hAnsi="宋体" w:hint="eastAsia"/>
          <w:color w:val="000000" w:themeColor="text1"/>
          <w:sz w:val="28"/>
          <w:lang w:eastAsia="zh-CN"/>
        </w:rPr>
        <w:t>台可燃气体探测报警器，站内位于西侧中间位置的加油机现已停用，周边关系未发生变化。</w:t>
      </w:r>
    </w:p>
    <w:p w:rsidR="00BC10D1" w:rsidRDefault="00CC60F9">
      <w:pPr>
        <w:pStyle w:val="a5"/>
        <w:ind w:firstLine="560"/>
        <w:rPr>
          <w:rFonts w:ascii="宋体"/>
          <w:color w:val="auto"/>
          <w:vertAlign w:val="superscript"/>
          <w:lang w:eastAsia="zh-CN"/>
        </w:rPr>
      </w:pPr>
      <w:r>
        <w:rPr>
          <w:rFonts w:ascii="宋体" w:hAnsi="宋体" w:hint="eastAsia"/>
          <w:color w:val="auto"/>
          <w:szCs w:val="28"/>
          <w:lang w:eastAsia="zh-CN"/>
        </w:rPr>
        <w:t>该加油站主要建有</w:t>
      </w:r>
      <w:r>
        <w:rPr>
          <w:rFonts w:ascii="宋体" w:hAnsi="宋体" w:hint="eastAsia"/>
          <w:color w:val="auto"/>
          <w:szCs w:val="28"/>
          <w:lang w:eastAsia="zh-CN"/>
        </w:rPr>
        <w:t>站房</w:t>
      </w:r>
      <w:r>
        <w:rPr>
          <w:rFonts w:ascii="宋体" w:hAnsi="宋体" w:hint="eastAsia"/>
          <w:color w:val="auto"/>
          <w:szCs w:val="28"/>
          <w:lang w:eastAsia="zh-CN"/>
        </w:rPr>
        <w:t>、油罐区、加油区等。</w:t>
      </w:r>
      <w:r>
        <w:rPr>
          <w:rFonts w:ascii="宋体" w:hAnsi="宋体" w:hint="eastAsia"/>
          <w:color w:val="auto"/>
          <w:szCs w:val="28"/>
          <w:lang w:eastAsia="zh-CN"/>
        </w:rPr>
        <w:t>站房</w:t>
      </w:r>
      <w:r>
        <w:rPr>
          <w:rFonts w:ascii="宋体" w:hAnsi="宋体" w:hint="eastAsia"/>
          <w:color w:val="auto"/>
          <w:szCs w:val="28"/>
          <w:lang w:eastAsia="zh-CN"/>
        </w:rPr>
        <w:t>在加</w:t>
      </w:r>
      <w:r>
        <w:rPr>
          <w:rFonts w:ascii="宋体" w:hAnsi="宋体" w:hint="eastAsia"/>
          <w:color w:val="auto"/>
          <w:szCs w:val="28"/>
          <w:lang w:eastAsia="zh-CN"/>
        </w:rPr>
        <w:t>油区东侧</w:t>
      </w:r>
      <w:r>
        <w:rPr>
          <w:rFonts w:ascii="宋体" w:hAnsi="宋体" w:hint="eastAsia"/>
          <w:color w:val="auto"/>
          <w:szCs w:val="28"/>
          <w:lang w:eastAsia="zh-CN"/>
        </w:rPr>
        <w:t>，</w:t>
      </w:r>
      <w:r>
        <w:rPr>
          <w:rFonts w:ascii="宋体" w:hAnsi="宋体" w:hint="eastAsia"/>
          <w:color w:val="auto"/>
          <w:szCs w:val="28"/>
          <w:lang w:eastAsia="zh-CN"/>
        </w:rPr>
        <w:t>加油区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现有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6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台加油机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（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1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台双枪双油品加油机已停用，其余均为双枪单油品加油机</w:t>
      </w:r>
      <w:r>
        <w:rPr>
          <w:rFonts w:ascii="宋体" w:hAnsi="宋体" w:hint="eastAsia"/>
          <w:color w:val="auto"/>
          <w:kern w:val="2"/>
          <w:szCs w:val="21"/>
          <w:lang w:eastAsia="zh-CN"/>
        </w:rPr>
        <w:t>）</w:t>
      </w:r>
      <w:r>
        <w:rPr>
          <w:rFonts w:hint="eastAsia"/>
          <w:lang w:eastAsia="zh-CN"/>
        </w:rPr>
        <w:t>均</w:t>
      </w:r>
      <w:r>
        <w:rPr>
          <w:rFonts w:ascii="宋体" w:hAnsi="宋体" w:hint="eastAsia"/>
          <w:color w:val="000000" w:themeColor="text1"/>
          <w:kern w:val="2"/>
          <w:szCs w:val="21"/>
          <w:lang w:eastAsia="zh-CN"/>
        </w:rPr>
        <w:t>为</w:t>
      </w:r>
      <w:r>
        <w:rPr>
          <w:rFonts w:ascii="宋体" w:hAnsi="宋体" w:hint="eastAsia"/>
          <w:color w:val="000000" w:themeColor="text1"/>
          <w:kern w:val="2"/>
          <w:szCs w:val="21"/>
          <w:lang w:eastAsia="zh-CN"/>
        </w:rPr>
        <w:t>潜油泵式；</w:t>
      </w:r>
      <w:r>
        <w:rPr>
          <w:rFonts w:ascii="宋体" w:hAnsi="宋体" w:hint="eastAsia"/>
          <w:szCs w:val="28"/>
          <w:lang w:eastAsia="zh-CN"/>
        </w:rPr>
        <w:t>油罐区</w:t>
      </w:r>
      <w:r>
        <w:rPr>
          <w:rFonts w:hint="eastAsia"/>
          <w:lang w:eastAsia="zh-CN"/>
        </w:rPr>
        <w:t>布置在</w:t>
      </w:r>
      <w:r>
        <w:rPr>
          <w:rFonts w:hint="eastAsia"/>
          <w:lang w:eastAsia="zh-CN"/>
        </w:rPr>
        <w:t>行车道下</w:t>
      </w:r>
      <w:r>
        <w:rPr>
          <w:rFonts w:hint="eastAsia"/>
          <w:lang w:eastAsia="zh-CN"/>
        </w:rPr>
        <w:t>，</w:t>
      </w:r>
      <w:r>
        <w:rPr>
          <w:rFonts w:ascii="宋体" w:hint="eastAsia"/>
          <w:color w:val="auto"/>
          <w:lang w:eastAsia="zh-CN"/>
        </w:rPr>
        <w:t>其双层</w:t>
      </w:r>
      <w:r>
        <w:rPr>
          <w:rFonts w:ascii="宋体" w:hAnsi="宋体" w:hint="eastAsia"/>
          <w:color w:val="auto"/>
          <w:szCs w:val="28"/>
          <w:lang w:eastAsia="zh-CN"/>
        </w:rPr>
        <w:t>油罐</w:t>
      </w:r>
      <w:r>
        <w:rPr>
          <w:rFonts w:ascii="宋体" w:hAnsi="宋体" w:hint="eastAsia"/>
          <w:color w:val="auto"/>
          <w:szCs w:val="28"/>
          <w:lang w:eastAsia="zh-CN"/>
        </w:rPr>
        <w:t>采用卧式直埋（</w:t>
      </w:r>
      <w:r>
        <w:rPr>
          <w:rFonts w:ascii="宋体" w:hAnsi="宋体" w:hint="eastAsia"/>
          <w:color w:val="auto"/>
          <w:szCs w:val="28"/>
          <w:lang w:eastAsia="zh-CN"/>
        </w:rPr>
        <w:t>2</w:t>
      </w:r>
      <w:r>
        <w:rPr>
          <w:rFonts w:ascii="宋体" w:hint="eastAsia"/>
          <w:color w:val="auto"/>
          <w:lang w:eastAsia="zh-CN"/>
        </w:rPr>
        <w:t>台</w:t>
      </w:r>
      <w:r>
        <w:rPr>
          <w:rFonts w:ascii="宋体" w:hint="eastAsia"/>
          <w:color w:val="auto"/>
          <w:lang w:eastAsia="zh-CN"/>
        </w:rPr>
        <w:t>50</w:t>
      </w:r>
      <w:r>
        <w:rPr>
          <w:rFonts w:ascii="宋体" w:hint="eastAsia"/>
          <w:color w:val="auto"/>
          <w:lang w:eastAsia="zh-CN"/>
        </w:rPr>
        <w:t>m</w:t>
      </w:r>
      <w:r>
        <w:rPr>
          <w:rFonts w:ascii="宋体" w:hint="eastAsia"/>
          <w:color w:val="auto"/>
          <w:vertAlign w:val="superscript"/>
          <w:lang w:eastAsia="zh-CN"/>
        </w:rPr>
        <w:t>3</w:t>
      </w:r>
      <w:r>
        <w:rPr>
          <w:rFonts w:ascii="宋体" w:hint="eastAsia"/>
          <w:color w:val="auto"/>
          <w:lang w:eastAsia="zh-CN"/>
        </w:rPr>
        <w:t>柴</w:t>
      </w:r>
      <w:r>
        <w:rPr>
          <w:rFonts w:ascii="宋体" w:hint="eastAsia"/>
          <w:color w:val="auto"/>
          <w:lang w:eastAsia="zh-CN"/>
        </w:rPr>
        <w:t>油罐</w:t>
      </w:r>
      <w:r>
        <w:rPr>
          <w:rFonts w:ascii="宋体" w:hint="eastAsia"/>
          <w:color w:val="auto"/>
          <w:lang w:eastAsia="zh-CN"/>
        </w:rPr>
        <w:t>、</w:t>
      </w:r>
      <w:r>
        <w:rPr>
          <w:rFonts w:ascii="宋体" w:hint="eastAsia"/>
          <w:color w:val="auto"/>
          <w:lang w:eastAsia="zh-CN"/>
        </w:rPr>
        <w:t>1</w:t>
      </w:r>
      <w:r>
        <w:rPr>
          <w:rFonts w:ascii="宋体" w:hint="eastAsia"/>
          <w:color w:val="auto"/>
          <w:lang w:eastAsia="zh-CN"/>
        </w:rPr>
        <w:t>台</w:t>
      </w:r>
      <w:r>
        <w:rPr>
          <w:rFonts w:ascii="宋体" w:hint="eastAsia"/>
          <w:color w:val="auto"/>
          <w:lang w:eastAsia="zh-CN"/>
        </w:rPr>
        <w:t>50</w:t>
      </w:r>
      <w:r>
        <w:rPr>
          <w:rFonts w:ascii="宋体" w:hint="eastAsia"/>
          <w:color w:val="auto"/>
          <w:lang w:eastAsia="zh-CN"/>
        </w:rPr>
        <w:t>m</w:t>
      </w:r>
      <w:r>
        <w:rPr>
          <w:rFonts w:ascii="宋体" w:hint="eastAsia"/>
          <w:color w:val="auto"/>
          <w:vertAlign w:val="superscript"/>
          <w:lang w:eastAsia="zh-CN"/>
        </w:rPr>
        <w:t>3</w:t>
      </w:r>
      <w:r>
        <w:rPr>
          <w:rFonts w:ascii="宋体" w:hint="eastAsia"/>
          <w:color w:val="auto"/>
          <w:lang w:eastAsia="zh-CN"/>
        </w:rPr>
        <w:t>92#</w:t>
      </w:r>
      <w:r>
        <w:rPr>
          <w:rFonts w:ascii="宋体" w:hint="eastAsia"/>
          <w:color w:val="auto"/>
          <w:lang w:eastAsia="zh-CN"/>
        </w:rPr>
        <w:t>汽油</w:t>
      </w:r>
      <w:r>
        <w:rPr>
          <w:rFonts w:ascii="宋体" w:hint="eastAsia"/>
          <w:color w:val="auto"/>
          <w:lang w:eastAsia="zh-CN"/>
        </w:rPr>
        <w:t>罐</w:t>
      </w:r>
      <w:r>
        <w:rPr>
          <w:rFonts w:ascii="宋体" w:hint="eastAsia"/>
          <w:color w:val="auto"/>
          <w:lang w:eastAsia="zh-CN"/>
        </w:rPr>
        <w:t>、</w:t>
      </w:r>
      <w:r>
        <w:rPr>
          <w:rFonts w:ascii="宋体" w:hint="eastAsia"/>
          <w:color w:val="auto"/>
          <w:lang w:eastAsia="zh-CN"/>
        </w:rPr>
        <w:t>1</w:t>
      </w:r>
      <w:r>
        <w:rPr>
          <w:rFonts w:ascii="宋体" w:hint="eastAsia"/>
          <w:color w:val="auto"/>
          <w:lang w:eastAsia="zh-CN"/>
        </w:rPr>
        <w:t>台</w:t>
      </w:r>
      <w:r>
        <w:rPr>
          <w:rFonts w:ascii="宋体" w:hint="eastAsia"/>
          <w:color w:val="auto"/>
          <w:lang w:eastAsia="zh-CN"/>
        </w:rPr>
        <w:t>30</w:t>
      </w:r>
      <w:r>
        <w:rPr>
          <w:rFonts w:ascii="宋体" w:hint="eastAsia"/>
          <w:color w:val="auto"/>
          <w:lang w:eastAsia="zh-CN"/>
        </w:rPr>
        <w:t>m</w:t>
      </w:r>
      <w:r>
        <w:rPr>
          <w:rFonts w:ascii="宋体" w:hint="eastAsia"/>
          <w:color w:val="auto"/>
          <w:vertAlign w:val="superscript"/>
          <w:lang w:eastAsia="zh-CN"/>
        </w:rPr>
        <w:t>3</w:t>
      </w:r>
      <w:r>
        <w:rPr>
          <w:rFonts w:ascii="宋体" w:hint="eastAsia"/>
          <w:color w:val="auto"/>
          <w:lang w:eastAsia="zh-CN"/>
        </w:rPr>
        <w:t>95#</w:t>
      </w:r>
      <w:r>
        <w:rPr>
          <w:rFonts w:ascii="宋体" w:hint="eastAsia"/>
          <w:color w:val="auto"/>
          <w:lang w:eastAsia="zh-CN"/>
        </w:rPr>
        <w:t>汽油罐、</w:t>
      </w:r>
      <w:r>
        <w:rPr>
          <w:rFonts w:ascii="宋体" w:hAnsi="宋体" w:hint="eastAsia"/>
          <w:color w:val="auto"/>
          <w:szCs w:val="28"/>
          <w:lang w:eastAsia="zh-CN"/>
        </w:rPr>
        <w:t>1</w:t>
      </w:r>
      <w:r>
        <w:rPr>
          <w:rFonts w:ascii="宋体" w:hint="eastAsia"/>
          <w:color w:val="auto"/>
          <w:lang w:eastAsia="zh-CN"/>
        </w:rPr>
        <w:t>台</w:t>
      </w:r>
      <w:r>
        <w:rPr>
          <w:rFonts w:ascii="宋体" w:hint="eastAsia"/>
          <w:color w:val="auto"/>
          <w:lang w:eastAsia="zh-CN"/>
        </w:rPr>
        <w:t>30</w:t>
      </w:r>
      <w:r>
        <w:rPr>
          <w:rFonts w:ascii="宋体" w:hint="eastAsia"/>
          <w:color w:val="auto"/>
          <w:lang w:eastAsia="zh-CN"/>
        </w:rPr>
        <w:t>m</w:t>
      </w:r>
      <w:r>
        <w:rPr>
          <w:rFonts w:ascii="宋体" w:hint="eastAsia"/>
          <w:color w:val="auto"/>
          <w:vertAlign w:val="superscript"/>
          <w:lang w:eastAsia="zh-CN"/>
        </w:rPr>
        <w:t>3</w:t>
      </w:r>
      <w:r>
        <w:rPr>
          <w:rFonts w:ascii="宋体" w:hint="eastAsia"/>
          <w:color w:val="auto"/>
          <w:lang w:eastAsia="zh-CN"/>
        </w:rPr>
        <w:t>柴</w:t>
      </w:r>
      <w:r>
        <w:rPr>
          <w:rFonts w:ascii="宋体" w:hint="eastAsia"/>
          <w:color w:val="auto"/>
          <w:lang w:eastAsia="zh-CN"/>
        </w:rPr>
        <w:t>油罐</w:t>
      </w:r>
      <w:r>
        <w:rPr>
          <w:rFonts w:ascii="宋体" w:hint="eastAsia"/>
          <w:color w:val="auto"/>
          <w:lang w:eastAsia="zh-CN"/>
        </w:rPr>
        <w:t>）；</w:t>
      </w:r>
      <w:r>
        <w:rPr>
          <w:rFonts w:ascii="宋体" w:hint="eastAsia"/>
          <w:color w:val="auto"/>
          <w:lang w:eastAsia="zh-CN"/>
        </w:rPr>
        <w:t>汽</w:t>
      </w:r>
      <w:r>
        <w:rPr>
          <w:rFonts w:ascii="宋体" w:hint="eastAsia"/>
          <w:color w:val="auto"/>
          <w:lang w:eastAsia="zh-CN"/>
        </w:rPr>
        <w:t>油</w:t>
      </w:r>
      <w:r>
        <w:rPr>
          <w:rFonts w:ascii="宋体" w:hint="eastAsia"/>
          <w:color w:val="auto"/>
          <w:lang w:eastAsia="zh-CN"/>
        </w:rPr>
        <w:t>、</w:t>
      </w:r>
      <w:r>
        <w:rPr>
          <w:rFonts w:ascii="宋体" w:hint="eastAsia"/>
          <w:color w:val="auto"/>
          <w:lang w:eastAsia="zh-CN"/>
        </w:rPr>
        <w:t>柴油卸油口均位于</w:t>
      </w:r>
      <w:r>
        <w:rPr>
          <w:rFonts w:ascii="宋体" w:hint="eastAsia"/>
          <w:color w:val="auto"/>
          <w:lang w:eastAsia="zh-CN"/>
        </w:rPr>
        <w:t>加油区西侧；加油站</w:t>
      </w:r>
      <w:r>
        <w:rPr>
          <w:rFonts w:ascii="宋体" w:hint="eastAsia"/>
          <w:color w:val="auto"/>
          <w:lang w:eastAsia="zh-CN"/>
        </w:rPr>
        <w:t>共有通气管</w:t>
      </w:r>
      <w:r>
        <w:rPr>
          <w:rFonts w:ascii="宋体" w:hint="eastAsia"/>
          <w:color w:val="auto"/>
          <w:lang w:eastAsia="zh-CN"/>
        </w:rPr>
        <w:t>6</w:t>
      </w:r>
      <w:r>
        <w:rPr>
          <w:rFonts w:ascii="宋体" w:hint="eastAsia"/>
          <w:color w:val="auto"/>
          <w:lang w:eastAsia="zh-CN"/>
        </w:rPr>
        <w:t>根</w:t>
      </w:r>
      <w:r>
        <w:rPr>
          <w:rFonts w:ascii="宋体" w:hint="eastAsia"/>
          <w:color w:val="auto"/>
          <w:lang w:eastAsia="zh-CN"/>
        </w:rPr>
        <w:t>，</w:t>
      </w:r>
      <w:r>
        <w:rPr>
          <w:rFonts w:ascii="宋体" w:hint="eastAsia"/>
          <w:color w:val="auto"/>
          <w:lang w:eastAsia="zh-CN"/>
        </w:rPr>
        <w:t>其中汽油储罐、柴油储罐的通气管</w:t>
      </w:r>
      <w:r>
        <w:rPr>
          <w:spacing w:val="3"/>
          <w:lang w:eastAsia="zh-CN"/>
        </w:rPr>
        <w:t>沿罩棚立柱敷设至罩棚面以上</w:t>
      </w:r>
      <w:r>
        <w:rPr>
          <w:rFonts w:hint="eastAsia"/>
          <w:spacing w:val="3"/>
          <w:lang w:eastAsia="zh-CN"/>
        </w:rPr>
        <w:t>，</w:t>
      </w:r>
      <w:r>
        <w:rPr>
          <w:spacing w:val="3"/>
          <w:lang w:eastAsia="zh-CN"/>
        </w:rPr>
        <w:t>油气回收装置通气</w:t>
      </w:r>
      <w:proofErr w:type="gramStart"/>
      <w:r>
        <w:rPr>
          <w:spacing w:val="3"/>
          <w:lang w:eastAsia="zh-CN"/>
        </w:rPr>
        <w:t>管设置</w:t>
      </w:r>
      <w:proofErr w:type="gramEnd"/>
      <w:r>
        <w:rPr>
          <w:spacing w:val="3"/>
          <w:lang w:eastAsia="zh-CN"/>
        </w:rPr>
        <w:t>于油气回收装置处</w:t>
      </w:r>
      <w:r>
        <w:rPr>
          <w:rFonts w:ascii="宋体" w:hint="eastAsia"/>
          <w:color w:val="auto"/>
          <w:lang w:eastAsia="zh-CN"/>
        </w:rPr>
        <w:t>；</w:t>
      </w:r>
      <w:r>
        <w:rPr>
          <w:rFonts w:ascii="宋体" w:hint="eastAsia"/>
          <w:color w:val="auto"/>
          <w:lang w:eastAsia="zh-CN"/>
        </w:rPr>
        <w:t>洗车棚位于站房南侧。</w:t>
      </w:r>
      <w:r>
        <w:rPr>
          <w:rFonts w:ascii="宋体" w:hint="eastAsia"/>
          <w:color w:val="auto"/>
          <w:lang w:eastAsia="zh-CN"/>
        </w:rPr>
        <w:t>该站汽油设有卸油油气回收系统、加油油气回收系统</w:t>
      </w:r>
      <w:r>
        <w:rPr>
          <w:rFonts w:ascii="宋体" w:hint="eastAsia"/>
          <w:color w:val="auto"/>
          <w:lang w:eastAsia="zh-CN"/>
        </w:rPr>
        <w:t>及油气处理装置（三次油气回收系统）</w:t>
      </w:r>
      <w:r>
        <w:rPr>
          <w:rFonts w:ascii="宋体" w:hint="eastAsia"/>
          <w:color w:val="auto"/>
          <w:lang w:eastAsia="zh-CN"/>
        </w:rPr>
        <w:t>；按《汽车加油加气加氢站技术标准》</w:t>
      </w:r>
      <w:r>
        <w:rPr>
          <w:rFonts w:ascii="宋体" w:hint="eastAsia"/>
          <w:color w:val="auto"/>
          <w:lang w:eastAsia="zh-CN"/>
        </w:rPr>
        <w:t xml:space="preserve"> </w:t>
      </w:r>
      <w:r>
        <w:rPr>
          <w:rFonts w:ascii="宋体" w:hint="eastAsia"/>
          <w:color w:val="auto"/>
          <w:lang w:eastAsia="zh-CN"/>
        </w:rPr>
        <w:t>GB50156-2021</w:t>
      </w:r>
      <w:r>
        <w:rPr>
          <w:rFonts w:ascii="宋体" w:hint="eastAsia"/>
          <w:color w:val="auto"/>
          <w:lang w:eastAsia="zh-CN"/>
        </w:rPr>
        <w:t>标准规定：</w:t>
      </w:r>
      <w:r>
        <w:rPr>
          <w:rFonts w:ascii="宋体" w:hint="eastAsia"/>
          <w:color w:val="auto"/>
          <w:lang w:eastAsia="zh-CN"/>
        </w:rPr>
        <w:t>V=</w:t>
      </w:r>
      <w:r>
        <w:rPr>
          <w:rFonts w:ascii="宋体" w:hint="eastAsia"/>
          <w:color w:val="auto"/>
          <w:lang w:eastAsia="zh-CN"/>
        </w:rPr>
        <w:t>80</w:t>
      </w:r>
      <w:r>
        <w:rPr>
          <w:rFonts w:ascii="宋体" w:hint="eastAsia"/>
          <w:color w:val="auto"/>
          <w:lang w:eastAsia="zh-CN"/>
        </w:rPr>
        <w:t>+</w:t>
      </w:r>
      <w:r>
        <w:rPr>
          <w:rFonts w:ascii="宋体" w:hint="eastAsia"/>
          <w:color w:val="auto"/>
          <w:lang w:eastAsia="zh-CN"/>
        </w:rPr>
        <w:t>130</w:t>
      </w:r>
      <w:r>
        <w:rPr>
          <w:rFonts w:ascii="宋体" w:hint="eastAsia"/>
          <w:color w:val="auto"/>
          <w:lang w:eastAsia="zh-CN"/>
        </w:rPr>
        <w:t>/2=</w:t>
      </w:r>
      <w:r>
        <w:rPr>
          <w:rFonts w:ascii="宋体" w:hint="eastAsia"/>
          <w:color w:val="auto"/>
          <w:lang w:eastAsia="zh-CN"/>
        </w:rPr>
        <w:t>145</w:t>
      </w:r>
      <w:r>
        <w:rPr>
          <w:rFonts w:ascii="宋体" w:hint="eastAsia"/>
          <w:color w:val="auto"/>
          <w:lang w:eastAsia="zh-CN"/>
        </w:rPr>
        <w:t>m</w:t>
      </w:r>
      <w:r>
        <w:rPr>
          <w:rFonts w:ascii="宋体" w:hint="eastAsia"/>
          <w:color w:val="auto"/>
          <w:vertAlign w:val="superscript"/>
          <w:lang w:eastAsia="zh-CN"/>
        </w:rPr>
        <w:t>3</w:t>
      </w:r>
      <w:r>
        <w:rPr>
          <w:rFonts w:ascii="宋体" w:hint="eastAsia"/>
          <w:color w:val="auto"/>
          <w:lang w:eastAsia="zh-CN"/>
        </w:rPr>
        <w:t>，该站属</w:t>
      </w:r>
      <w:r>
        <w:rPr>
          <w:rFonts w:ascii="宋体" w:hint="eastAsia"/>
          <w:color w:val="auto"/>
          <w:lang w:eastAsia="zh-CN"/>
        </w:rPr>
        <w:t>二</w:t>
      </w:r>
      <w:r>
        <w:rPr>
          <w:rFonts w:ascii="宋体" w:hint="eastAsia"/>
          <w:color w:val="auto"/>
          <w:lang w:eastAsia="zh-CN"/>
        </w:rPr>
        <w:t>级加油站。</w:t>
      </w:r>
    </w:p>
    <w:p w:rsidR="00BC10D1" w:rsidRDefault="00CC60F9">
      <w:pPr>
        <w:pStyle w:val="5"/>
        <w:widowControl w:val="0"/>
        <w:adjustRightInd w:val="0"/>
        <w:snapToGrid w:val="0"/>
        <w:spacing w:line="360" w:lineRule="auto"/>
        <w:outlineLvl w:val="9"/>
      </w:pPr>
      <w:r>
        <w:t>表</w:t>
      </w:r>
      <w:r>
        <w:rPr>
          <w:rFonts w:ascii="黑体" w:hAnsi="黑体"/>
        </w:rPr>
        <w:t xml:space="preserve">2.1-1 </w:t>
      </w:r>
      <w:r>
        <w:t>加油站的等级划分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29"/>
        <w:gridCol w:w="3136"/>
      </w:tblGrid>
      <w:tr w:rsidR="00BC10D1">
        <w:trPr>
          <w:trHeight w:val="397"/>
          <w:jc w:val="center"/>
        </w:trPr>
        <w:tc>
          <w:tcPr>
            <w:tcW w:w="1662" w:type="pct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</w:t>
            </w:r>
            <w:r>
              <w:rPr>
                <w:rFonts w:ascii="宋体" w:hAnsi="宋体" w:hint="eastAsia"/>
                <w:b/>
                <w:bCs/>
              </w:rPr>
              <w:t>等级</w:t>
            </w:r>
          </w:p>
        </w:tc>
        <w:tc>
          <w:tcPr>
            <w:tcW w:w="3338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加油站油罐容积（</w:t>
            </w:r>
            <w:r>
              <w:rPr>
                <w:rFonts w:ascii="宋体" w:hAnsi="宋体"/>
                <w:b/>
                <w:bCs/>
              </w:rPr>
              <w:t>m</w:t>
            </w:r>
            <w:r>
              <w:rPr>
                <w:rFonts w:ascii="宋体" w:hAnsi="宋体"/>
                <w:b/>
                <w:bCs/>
                <w:vertAlign w:val="superscript"/>
              </w:rPr>
              <w:t>3</w:t>
            </w:r>
            <w:r>
              <w:rPr>
                <w:rFonts w:ascii="宋体" w:hAnsi="宋体"/>
                <w:b/>
                <w:bCs/>
              </w:rPr>
              <w:t>）</w:t>
            </w:r>
          </w:p>
        </w:tc>
      </w:tr>
      <w:tr w:rsidR="00BC10D1">
        <w:trPr>
          <w:trHeight w:val="397"/>
          <w:jc w:val="center"/>
        </w:trPr>
        <w:tc>
          <w:tcPr>
            <w:tcW w:w="1662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总容积</w:t>
            </w:r>
            <w:r>
              <w:rPr>
                <w:rFonts w:ascii="宋体" w:hAnsi="宋体" w:hint="eastAsia"/>
                <w:b/>
                <w:bCs/>
              </w:rPr>
              <w:t>V</w:t>
            </w:r>
          </w:p>
        </w:tc>
        <w:tc>
          <w:tcPr>
            <w:tcW w:w="1671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单罐容积</w:t>
            </w:r>
          </w:p>
        </w:tc>
      </w:tr>
      <w:tr w:rsidR="00BC10D1">
        <w:trPr>
          <w:trHeight w:val="397"/>
          <w:jc w:val="center"/>
        </w:trPr>
        <w:tc>
          <w:tcPr>
            <w:tcW w:w="1662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一级</w:t>
            </w:r>
          </w:p>
        </w:tc>
        <w:tc>
          <w:tcPr>
            <w:tcW w:w="1667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150</w:t>
            </w:r>
            <w:r>
              <w:rPr>
                <w:rFonts w:ascii="宋体" w:hAnsi="宋体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210</w:t>
            </w:r>
          </w:p>
        </w:tc>
        <w:tc>
          <w:tcPr>
            <w:tcW w:w="1671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BC10D1">
        <w:trPr>
          <w:trHeight w:val="397"/>
          <w:jc w:val="center"/>
        </w:trPr>
        <w:tc>
          <w:tcPr>
            <w:tcW w:w="1662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二级</w:t>
            </w:r>
          </w:p>
        </w:tc>
        <w:tc>
          <w:tcPr>
            <w:tcW w:w="1667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150</w:t>
            </w:r>
          </w:p>
        </w:tc>
        <w:tc>
          <w:tcPr>
            <w:tcW w:w="1671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BC10D1">
        <w:trPr>
          <w:trHeight w:val="397"/>
          <w:jc w:val="center"/>
        </w:trPr>
        <w:tc>
          <w:tcPr>
            <w:tcW w:w="1662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三级</w:t>
            </w:r>
          </w:p>
        </w:tc>
        <w:tc>
          <w:tcPr>
            <w:tcW w:w="1667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90</w:t>
            </w:r>
          </w:p>
        </w:tc>
        <w:tc>
          <w:tcPr>
            <w:tcW w:w="1671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汽油</w:t>
            </w:r>
            <w:r>
              <w:rPr>
                <w:rFonts w:ascii="宋体" w:hAnsi="宋体"/>
              </w:rPr>
              <w:t>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/>
              </w:rPr>
              <w:t>，柴油罐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</w:tbl>
    <w:p w:rsidR="00BC10D1" w:rsidRDefault="00CC60F9">
      <w:pPr>
        <w:pStyle w:val="7"/>
        <w:widowControl w:val="0"/>
        <w:spacing w:line="360" w:lineRule="auto"/>
        <w:ind w:firstLine="428"/>
      </w:pPr>
      <w:r>
        <w:t>注：</w:t>
      </w:r>
      <w:r>
        <w:rPr>
          <w:rFonts w:hint="eastAsia"/>
        </w:rPr>
        <w:t>V</w:t>
      </w:r>
      <w:r>
        <w:rPr>
          <w:rFonts w:hint="eastAsia"/>
        </w:rPr>
        <w:t>为油罐总容积。</w:t>
      </w:r>
      <w:r>
        <w:t>柴油罐容积可折半计入油罐总容积。</w:t>
      </w:r>
    </w:p>
    <w:p w:rsidR="00BC10D1" w:rsidRDefault="00CC60F9">
      <w:pPr>
        <w:pStyle w:val="6"/>
        <w:widowControl w:val="0"/>
        <w:spacing w:line="360" w:lineRule="auto"/>
        <w:ind w:firstLine="560"/>
        <w:rPr>
          <w:rFonts w:ascii="宋体"/>
          <w:color w:val="000000" w:themeColor="text1"/>
        </w:rPr>
      </w:pPr>
      <w:r>
        <w:rPr>
          <w:rFonts w:ascii="宋体"/>
          <w:color w:val="000000" w:themeColor="text1"/>
        </w:rPr>
        <w:t>该站现有职工</w:t>
      </w:r>
      <w:r>
        <w:rPr>
          <w:rFonts w:ascii="宋体" w:hint="eastAsia"/>
          <w:color w:val="000000" w:themeColor="text1"/>
        </w:rPr>
        <w:t>10</w:t>
      </w:r>
      <w:r>
        <w:rPr>
          <w:rFonts w:ascii="宋体" w:hint="eastAsia"/>
          <w:color w:val="000000" w:themeColor="text1"/>
        </w:rPr>
        <w:t>人</w:t>
      </w:r>
      <w:r>
        <w:rPr>
          <w:rFonts w:ascii="宋体"/>
          <w:color w:val="000000" w:themeColor="text1"/>
        </w:rPr>
        <w:t>，</w:t>
      </w:r>
      <w:r>
        <w:rPr>
          <w:rFonts w:ascii="宋体" w:hint="eastAsia"/>
          <w:color w:val="000000" w:themeColor="text1"/>
        </w:rPr>
        <w:t>其中</w:t>
      </w:r>
      <w:r>
        <w:rPr>
          <w:rFonts w:ascii="宋体"/>
          <w:color w:val="000000" w:themeColor="text1"/>
        </w:rPr>
        <w:t>主要负责人</w:t>
      </w:r>
      <w:r>
        <w:rPr>
          <w:rFonts w:ascii="宋体" w:hint="eastAsia"/>
          <w:color w:val="000000" w:themeColor="text1"/>
        </w:rPr>
        <w:t>1</w:t>
      </w:r>
      <w:r>
        <w:rPr>
          <w:rFonts w:ascii="宋体"/>
          <w:color w:val="000000" w:themeColor="text1"/>
        </w:rPr>
        <w:t>人，安全生产管理人员</w:t>
      </w:r>
      <w:r>
        <w:rPr>
          <w:rFonts w:ascii="宋体" w:hint="eastAsia"/>
          <w:color w:val="000000" w:themeColor="text1"/>
        </w:rPr>
        <w:t>1</w:t>
      </w:r>
      <w:r>
        <w:rPr>
          <w:rFonts w:ascii="宋体" w:hint="eastAsia"/>
          <w:color w:val="000000" w:themeColor="text1"/>
        </w:rPr>
        <w:t>人。主要负责人和</w:t>
      </w:r>
      <w:r>
        <w:rPr>
          <w:rFonts w:ascii="宋体"/>
          <w:color w:val="000000" w:themeColor="text1"/>
        </w:rPr>
        <w:t>安全生产管理人员已</w:t>
      </w:r>
      <w:r>
        <w:rPr>
          <w:rFonts w:ascii="宋体" w:hint="eastAsia"/>
          <w:color w:val="000000" w:themeColor="text1"/>
        </w:rPr>
        <w:t>参加了</w:t>
      </w:r>
      <w:r>
        <w:rPr>
          <w:rFonts w:ascii="宋体"/>
          <w:color w:val="000000" w:themeColor="text1"/>
        </w:rPr>
        <w:t>危险化学品安全管理培训，</w:t>
      </w:r>
      <w:r>
        <w:rPr>
          <w:rFonts w:ascii="宋体" w:hint="eastAsia"/>
          <w:color w:val="000000" w:themeColor="text1"/>
        </w:rPr>
        <w:t>并取得考核合格证，</w:t>
      </w:r>
      <w:r>
        <w:rPr>
          <w:rFonts w:ascii="宋体"/>
          <w:color w:val="000000" w:themeColor="text1"/>
        </w:rPr>
        <w:t>详见附件。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lastRenderedPageBreak/>
        <w:t>加油站于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20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06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年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01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月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16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日取得了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泰安市公安消防分局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出具的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《建筑工程消防验收意见书》，编号：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泰公消验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字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[2006]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第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号，详见附件。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9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30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日与山东京博新能源控股发展有限公司签订了《加油站资产租赁合同》，详见附件。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加油站于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日换发了《危险化学品经营许可证》，证书编号：鲁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泰危化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经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[2022]000496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号，证书有效期至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日，证书见附件。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该站编制了生产安全事故应急预案，于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9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19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日在新泰市应急管理局进行了备案，备案编号为：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370982-2024-0210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，详见附件。</w:t>
      </w:r>
      <w:bookmarkStart w:id="14" w:name="_Hlk508440011"/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加油站于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日换发了《成品油零售经营批准证书》，证书编号：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鲁油零售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证书第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3709022019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号，证书有效期至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日，证书见附件。</w:t>
      </w:r>
      <w:bookmarkEnd w:id="14"/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山东天科防雷工程有限公司对该站进行了相关防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雷设施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的检测，出具了合格的《雷电防护装置定期检测报告》，报告编号：（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1122016001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）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[2024]TAXT-0388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，防雷类别：二类，结论为“加油站雷电防护装置符合现行国家防雷规范标准要求”，有效期至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日，检测报告见附件。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该站在中国人民保险投保安全生产责任保险，保单号为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PZJT202437090000000103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，保险期限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30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日，详见附件。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该站建立健全了安全生产责任制、安全生产规章制度和安全操作规程，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执行情况较好。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该站各项安全管理制度基本健全，有生产经营单位生产事故应急预案，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并定期进行应急救援演练。该加油站消防器材配备齐全，加油站配备了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35kg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推车式干粉灭火器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5kg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手提式干粉灭火器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4kg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手提式干粉灭火器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,CO</w:t>
      </w:r>
      <w:r>
        <w:rPr>
          <w:rFonts w:ascii="宋体" w:hAnsi="宋体" w:hint="eastAsia"/>
          <w:color w:val="000000" w:themeColor="text1"/>
          <w:sz w:val="28"/>
          <w:szCs w:val="28"/>
          <w:vertAlign w:val="subscript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具，灭火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毯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块，消防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锨</w:t>
      </w:r>
      <w:proofErr w:type="gramEnd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把，消防桶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个，消防沙池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  <w:lang w:eastAsia="zh-CN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。</w:t>
      </w:r>
    </w:p>
    <w:p w:rsidR="00BC10D1" w:rsidRDefault="00CC60F9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该加油站按功能分区布置，有油罐区、加油区、站房，</w:t>
      </w:r>
      <w:proofErr w:type="gramStart"/>
      <w:r>
        <w:rPr>
          <w:rFonts w:ascii="宋体" w:hAnsi="宋体" w:hint="eastAsia"/>
          <w:color w:val="auto"/>
          <w:sz w:val="28"/>
          <w:szCs w:val="28"/>
          <w:lang w:eastAsia="zh-CN"/>
        </w:rPr>
        <w:t>布置较</w:t>
      </w:r>
      <w:proofErr w:type="gramEnd"/>
      <w:r>
        <w:rPr>
          <w:rFonts w:ascii="宋体" w:hAnsi="宋体" w:hint="eastAsia"/>
          <w:color w:val="auto"/>
          <w:sz w:val="28"/>
          <w:szCs w:val="28"/>
          <w:lang w:eastAsia="zh-CN"/>
        </w:rPr>
        <w:t>合理。</w:t>
      </w:r>
    </w:p>
    <w:p w:rsidR="00BC10D1" w:rsidRDefault="00CC60F9">
      <w:pPr>
        <w:spacing w:line="360" w:lineRule="auto"/>
        <w:ind w:firstLineChars="200" w:firstLine="560"/>
        <w:rPr>
          <w:rFonts w:ascii="宋体"/>
          <w:color w:val="auto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lastRenderedPageBreak/>
        <w:t>站房地上一层（砖混），罩棚为钢架结构。该站基本情况见下表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2.1-2</w:t>
      </w:r>
      <w:r>
        <w:rPr>
          <w:rFonts w:ascii="宋体"/>
          <w:color w:val="auto"/>
          <w:lang w:eastAsia="zh-CN"/>
        </w:rPr>
        <w:t>。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</w:t>
      </w:r>
    </w:p>
    <w:p w:rsidR="00BC10D1" w:rsidRDefault="00CC60F9">
      <w:pPr>
        <w:pStyle w:val="5"/>
        <w:widowControl w:val="0"/>
        <w:outlineLvl w:val="9"/>
        <w:rPr>
          <w:rFonts w:ascii="黑体" w:hAnsi="黑体"/>
        </w:rPr>
      </w:pPr>
      <w:r>
        <w:rPr>
          <w:rFonts w:ascii="黑体" w:hAnsi="黑体"/>
        </w:rPr>
        <w:t>表</w:t>
      </w:r>
      <w:r>
        <w:rPr>
          <w:rFonts w:ascii="黑体" w:hAnsi="黑体"/>
        </w:rPr>
        <w:t xml:space="preserve">2.1-2 </w:t>
      </w:r>
      <w:r>
        <w:rPr>
          <w:rFonts w:ascii="黑体" w:hAnsi="黑体"/>
        </w:rPr>
        <w:t>加油站基本情况表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1442"/>
        <w:gridCol w:w="974"/>
        <w:gridCol w:w="124"/>
        <w:gridCol w:w="1293"/>
        <w:gridCol w:w="188"/>
        <w:gridCol w:w="1424"/>
        <w:gridCol w:w="1201"/>
        <w:gridCol w:w="1299"/>
      </w:tblGrid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企业名称</w:t>
            </w:r>
          </w:p>
        </w:tc>
        <w:tc>
          <w:tcPr>
            <w:tcW w:w="4233" w:type="pct"/>
            <w:gridSpan w:val="8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庆祥企业管理（新泰市）</w:t>
            </w:r>
            <w:proofErr w:type="gramStart"/>
            <w:r>
              <w:rPr>
                <w:rFonts w:ascii="宋体" w:hAnsi="宋体" w:cs="宋体" w:hint="eastAsia"/>
              </w:rPr>
              <w:t>有限公司京化加油站</w:t>
            </w:r>
            <w:proofErr w:type="gramEnd"/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注册地址</w:t>
            </w:r>
          </w:p>
        </w:tc>
        <w:tc>
          <w:tcPr>
            <w:tcW w:w="4233" w:type="pct"/>
            <w:gridSpan w:val="8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山东省泰安市新泰市青云街道新兴路北段东侧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幢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号</w:t>
            </w:r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87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15615787229</w:t>
            </w:r>
          </w:p>
        </w:tc>
        <w:tc>
          <w:tcPr>
            <w:tcW w:w="855" w:type="pct"/>
            <w:gridSpan w:val="3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真</w:t>
            </w:r>
          </w:p>
        </w:tc>
        <w:tc>
          <w:tcPr>
            <w:tcW w:w="759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—</w:t>
            </w:r>
          </w:p>
        </w:tc>
        <w:tc>
          <w:tcPr>
            <w:tcW w:w="64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69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271200</w:t>
            </w:r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经营产品</w:t>
            </w:r>
          </w:p>
        </w:tc>
        <w:tc>
          <w:tcPr>
            <w:tcW w:w="4233" w:type="pct"/>
            <w:gridSpan w:val="8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汽油、柴油</w:t>
            </w:r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登记机关</w:t>
            </w:r>
          </w:p>
        </w:tc>
        <w:tc>
          <w:tcPr>
            <w:tcW w:w="4233" w:type="pct"/>
            <w:gridSpan w:val="8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新泰市行政审批服务局</w:t>
            </w:r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042" w:type="pct"/>
            <w:gridSpan w:val="4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王宾</w:t>
            </w:r>
            <w:proofErr w:type="gramStart"/>
            <w:r>
              <w:rPr>
                <w:rFonts w:ascii="宋体" w:hAnsi="宋体" w:cs="宋体" w:hint="eastAsia"/>
              </w:rPr>
              <w:t>宾</w:t>
            </w:r>
            <w:proofErr w:type="gramEnd"/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站长</w:t>
            </w:r>
          </w:p>
        </w:tc>
        <w:tc>
          <w:tcPr>
            <w:tcW w:w="1331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王宾</w:t>
            </w:r>
            <w:proofErr w:type="gramStart"/>
            <w:r>
              <w:rPr>
                <w:rFonts w:ascii="宋体" w:hAnsi="宋体" w:cs="宋体" w:hint="eastAsia"/>
              </w:rPr>
              <w:t>宾</w:t>
            </w:r>
            <w:proofErr w:type="gramEnd"/>
          </w:p>
        </w:tc>
      </w:tr>
      <w:tr w:rsidR="00BC10D1">
        <w:trPr>
          <w:trHeight w:val="454"/>
          <w:jc w:val="center"/>
        </w:trPr>
        <w:tc>
          <w:tcPr>
            <w:tcW w:w="766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职工人数</w:t>
            </w: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10</w:t>
            </w:r>
          </w:p>
        </w:tc>
        <w:tc>
          <w:tcPr>
            <w:tcW w:w="1274" w:type="pct"/>
            <w:gridSpan w:val="3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站长</w:t>
            </w:r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4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安全员</w:t>
            </w:r>
          </w:p>
        </w:tc>
        <w:tc>
          <w:tcPr>
            <w:tcW w:w="69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经营场所</w:t>
            </w: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</w:t>
            </w:r>
            <w:r>
              <w:rPr>
                <w:rFonts w:ascii="宋体" w:hAnsi="宋体" w:cs="宋体" w:hint="eastAsia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权</w:t>
            </w:r>
          </w:p>
        </w:tc>
        <w:tc>
          <w:tcPr>
            <w:tcW w:w="3465" w:type="pct"/>
            <w:gridSpan w:val="7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自有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租赁</w:t>
            </w:r>
            <w:r>
              <w:rPr>
                <w:rFonts w:ascii="Segoe UI Symbol" w:hAnsi="Segoe UI Symbol" w:cs="Segoe UI Symbol" w:hint="eastAsia"/>
                <w:bCs/>
                <w:color w:val="000000" w:themeColor="text1"/>
              </w:rPr>
              <w:t>☑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承包□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站房面积</w:t>
            </w:r>
          </w:p>
        </w:tc>
        <w:tc>
          <w:tcPr>
            <w:tcW w:w="585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206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</w:p>
        </w:tc>
        <w:tc>
          <w:tcPr>
            <w:tcW w:w="68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罩棚面积</w:t>
            </w:r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469.76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</w:p>
        </w:tc>
        <w:tc>
          <w:tcPr>
            <w:tcW w:w="64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罩棚高度</w:t>
            </w:r>
          </w:p>
        </w:tc>
        <w:tc>
          <w:tcPr>
            <w:tcW w:w="69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7.8</w:t>
            </w:r>
            <w:r>
              <w:rPr>
                <w:rFonts w:ascii="宋体" w:hAnsi="宋体" w:cs="宋体" w:hint="eastAsia"/>
              </w:rPr>
              <w:t>m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储存设施</w:t>
            </w: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汽油</w:t>
            </w:r>
          </w:p>
        </w:tc>
        <w:tc>
          <w:tcPr>
            <w:tcW w:w="2133" w:type="pct"/>
            <w:gridSpan w:val="5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jc w:val="both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共</w:t>
            </w: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个汽油罐，</w:t>
            </w:r>
            <w:r>
              <w:rPr>
                <w:rFonts w:ascii="宋体" w:hAnsi="宋体" w:cs="宋体" w:hint="eastAsia"/>
                <w:bCs/>
              </w:rPr>
              <w:t>92#</w:t>
            </w:r>
            <w:r>
              <w:rPr>
                <w:rFonts w:ascii="宋体" w:hAnsi="宋体" w:cs="宋体" w:hint="eastAsia"/>
                <w:bCs/>
              </w:rPr>
              <w:t>汽油</w:t>
            </w:r>
            <w:r>
              <w:rPr>
                <w:rFonts w:ascii="宋体" w:hAnsi="宋体" w:cs="宋体" w:hint="eastAsia"/>
                <w:bCs/>
              </w:rPr>
              <w:t>罐容积为</w:t>
            </w:r>
            <w:r>
              <w:rPr>
                <w:rFonts w:ascii="宋体" w:hAnsi="宋体" w:cs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u w:val="single"/>
              </w:rPr>
              <w:t>50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  <w:r>
              <w:rPr>
                <w:rFonts w:ascii="宋体" w:hAnsi="宋体" w:cs="宋体" w:hint="eastAsia"/>
                <w:bCs/>
              </w:rPr>
              <w:t>,95#</w:t>
            </w:r>
            <w:r>
              <w:rPr>
                <w:rFonts w:ascii="宋体" w:hAnsi="宋体" w:cs="宋体" w:hint="eastAsia"/>
                <w:bCs/>
              </w:rPr>
              <w:t>汽油罐</w:t>
            </w:r>
            <w:r>
              <w:rPr>
                <w:rFonts w:ascii="宋体" w:hAnsi="宋体" w:cs="宋体" w:hint="eastAsia"/>
                <w:bCs/>
              </w:rPr>
              <w:t>容积为</w:t>
            </w:r>
            <w:r>
              <w:rPr>
                <w:rFonts w:ascii="宋体" w:hAnsi="宋体" w:cs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u w:val="single"/>
              </w:rPr>
              <w:t>30</w:t>
            </w:r>
            <w:r>
              <w:rPr>
                <w:rFonts w:ascii="宋体" w:hAnsi="宋体" w:cs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</w:p>
        </w:tc>
        <w:tc>
          <w:tcPr>
            <w:tcW w:w="1331" w:type="pct"/>
            <w:gridSpan w:val="2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napToGrid w:val="0"/>
              <w:spacing w:line="240" w:lineRule="auto"/>
              <w:rPr>
                <w:rStyle w:val="a6"/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是否为双层罐：是☑否□</w:t>
            </w:r>
          </w:p>
          <w:p w:rsidR="00BC10D1" w:rsidRDefault="00CC60F9">
            <w:pPr>
              <w:pStyle w:val="50"/>
              <w:widowControl w:val="0"/>
              <w:snapToGrid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储存能力：</w:t>
            </w:r>
            <w:r>
              <w:rPr>
                <w:rFonts w:ascii="宋体" w:hAnsi="宋体" w:cs="宋体" w:hint="eastAsia"/>
              </w:rPr>
              <w:t>210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3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850"/>
          <w:jc w:val="center"/>
        </w:trPr>
        <w:tc>
          <w:tcPr>
            <w:tcW w:w="766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柴油</w:t>
            </w:r>
          </w:p>
        </w:tc>
        <w:tc>
          <w:tcPr>
            <w:tcW w:w="2133" w:type="pct"/>
            <w:gridSpan w:val="5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共</w:t>
            </w:r>
            <w:r>
              <w:rPr>
                <w:rFonts w:ascii="宋体" w:hAnsi="宋体" w:cs="宋体" w:hint="eastAsia"/>
                <w:bCs/>
              </w:rPr>
              <w:t>3</w:t>
            </w:r>
            <w:r>
              <w:rPr>
                <w:rFonts w:ascii="宋体" w:hAnsi="宋体" w:cs="宋体" w:hint="eastAsia"/>
                <w:bCs/>
              </w:rPr>
              <w:t>个柴油罐，</w:t>
            </w:r>
            <w:r>
              <w:rPr>
                <w:rFonts w:ascii="宋体" w:hAnsi="宋体" w:cs="宋体" w:hint="eastAsia"/>
                <w:bCs/>
              </w:rPr>
              <w:t>北侧</w:t>
            </w: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个</w:t>
            </w:r>
            <w:r>
              <w:rPr>
                <w:rFonts w:ascii="宋体" w:hAnsi="宋体" w:cs="宋体" w:hint="eastAsia"/>
                <w:bCs/>
              </w:rPr>
              <w:t>罐容积为</w:t>
            </w:r>
            <w:r>
              <w:rPr>
                <w:rFonts w:ascii="宋体" w:hAnsi="宋体" w:cs="宋体" w:hint="eastAsia"/>
                <w:bCs/>
                <w:u w:val="single"/>
              </w:rPr>
              <w:t>50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  <w:r>
              <w:rPr>
                <w:rFonts w:ascii="宋体" w:hAnsi="宋体" w:cs="宋体" w:hint="eastAsia"/>
                <w:bCs/>
              </w:rPr>
              <w:t>，</w:t>
            </w:r>
            <w:r>
              <w:rPr>
                <w:rFonts w:ascii="宋体" w:hAnsi="宋体" w:cs="宋体" w:hint="eastAsia"/>
                <w:bCs/>
              </w:rPr>
              <w:t>南侧</w:t>
            </w:r>
            <w:r>
              <w:rPr>
                <w:rFonts w:ascii="宋体" w:hAnsi="宋体" w:cs="宋体" w:hint="eastAsia"/>
                <w:bCs/>
              </w:rPr>
              <w:t>1</w:t>
            </w:r>
            <w:r>
              <w:rPr>
                <w:rFonts w:ascii="宋体" w:hAnsi="宋体" w:cs="宋体" w:hint="eastAsia"/>
                <w:bCs/>
              </w:rPr>
              <w:t>个罐容积为</w:t>
            </w:r>
            <w:r>
              <w:rPr>
                <w:rFonts w:ascii="宋体" w:hAnsi="宋体" w:cs="宋体" w:hint="eastAsia"/>
                <w:bCs/>
              </w:rPr>
              <w:t>3</w:t>
            </w:r>
            <w:r>
              <w:rPr>
                <w:rFonts w:ascii="宋体" w:hAnsi="宋体" w:cs="宋体" w:hint="eastAsia"/>
                <w:bCs/>
                <w:u w:val="single"/>
              </w:rPr>
              <w:t>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</w:p>
        </w:tc>
        <w:tc>
          <w:tcPr>
            <w:tcW w:w="1331" w:type="pct"/>
            <w:gridSpan w:val="2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加油设施</w:t>
            </w: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加油机</w:t>
            </w:r>
          </w:p>
        </w:tc>
        <w:tc>
          <w:tcPr>
            <w:tcW w:w="3465" w:type="pct"/>
            <w:gridSpan w:val="7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6</w:t>
            </w:r>
            <w:r>
              <w:rPr>
                <w:rFonts w:ascii="宋体" w:hAnsi="宋体" w:cs="宋体" w:hint="eastAsia"/>
                <w:bCs/>
              </w:rPr>
              <w:t>台双枪（停用</w:t>
            </w:r>
            <w:r>
              <w:rPr>
                <w:rFonts w:ascii="宋体" w:hAnsi="宋体" w:cs="宋体" w:hint="eastAsia"/>
                <w:bCs/>
              </w:rPr>
              <w:t>1</w:t>
            </w:r>
            <w:r>
              <w:rPr>
                <w:rFonts w:ascii="宋体" w:hAnsi="宋体" w:cs="宋体" w:hint="eastAsia"/>
                <w:bCs/>
              </w:rPr>
              <w:t>台，均为非自助）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加油方式</w:t>
            </w:r>
          </w:p>
        </w:tc>
        <w:tc>
          <w:tcPr>
            <w:tcW w:w="3465" w:type="pct"/>
            <w:gridSpan w:val="7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潜油泵式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☑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自吸式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□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 w:val="restar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消防设施</w:t>
            </w: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推车式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35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kg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干粉灭火器</w:t>
            </w:r>
          </w:p>
        </w:tc>
        <w:tc>
          <w:tcPr>
            <w:tcW w:w="585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  <w:tc>
          <w:tcPr>
            <w:tcW w:w="68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kg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手提式干粉灭火器</w:t>
            </w:r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  <w:tc>
          <w:tcPr>
            <w:tcW w:w="64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CO</w:t>
            </w:r>
            <w:r>
              <w:rPr>
                <w:rFonts w:ascii="宋体" w:hAnsi="宋体" w:cs="宋体" w:hint="eastAsia"/>
                <w:bCs/>
                <w:color w:val="000000" w:themeColor="text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灭火器</w:t>
            </w:r>
          </w:p>
        </w:tc>
        <w:tc>
          <w:tcPr>
            <w:tcW w:w="69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6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灭火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</w:rPr>
              <w:t>毯</w:t>
            </w:r>
            <w:proofErr w:type="gramEnd"/>
          </w:p>
        </w:tc>
        <w:tc>
          <w:tcPr>
            <w:tcW w:w="585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块</w:t>
            </w:r>
          </w:p>
        </w:tc>
        <w:tc>
          <w:tcPr>
            <w:tcW w:w="68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消防锨</w:t>
            </w:r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把</w:t>
            </w:r>
          </w:p>
        </w:tc>
        <w:tc>
          <w:tcPr>
            <w:tcW w:w="64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消防桶</w:t>
            </w:r>
          </w:p>
        </w:tc>
        <w:tc>
          <w:tcPr>
            <w:tcW w:w="690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个</w:t>
            </w:r>
          </w:p>
        </w:tc>
      </w:tr>
      <w:tr w:rsidR="00BC10D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854"/>
          <w:jc w:val="center"/>
        </w:trPr>
        <w:tc>
          <w:tcPr>
            <w:tcW w:w="766" w:type="pct"/>
            <w:vMerge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消防沙池</w:t>
            </w:r>
          </w:p>
        </w:tc>
        <w:tc>
          <w:tcPr>
            <w:tcW w:w="585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2m</w:t>
            </w:r>
            <w:r>
              <w:rPr>
                <w:rFonts w:ascii="宋体" w:hAnsi="宋体" w:cs="宋体" w:hint="eastAsia"/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688" w:type="pct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kg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手提式干粉灭火器</w:t>
            </w:r>
          </w:p>
        </w:tc>
        <w:tc>
          <w:tcPr>
            <w:tcW w:w="859" w:type="pct"/>
            <w:gridSpan w:val="2"/>
            <w:vAlign w:val="center"/>
          </w:tcPr>
          <w:p w:rsidR="00BC10D1" w:rsidRDefault="00CC60F9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12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  <w:tc>
          <w:tcPr>
            <w:tcW w:w="640" w:type="pct"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690" w:type="pct"/>
            <w:vAlign w:val="center"/>
          </w:tcPr>
          <w:p w:rsidR="00BC10D1" w:rsidRDefault="00BC10D1">
            <w:pPr>
              <w:pStyle w:val="50"/>
              <w:widowControl w:val="0"/>
              <w:spacing w:line="36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</w:tr>
    </w:tbl>
    <w:p w:rsidR="00BC10D1" w:rsidRDefault="00BC10D1">
      <w:pPr>
        <w:spacing w:before="63" w:line="227" w:lineRule="auto"/>
        <w:ind w:left="1954"/>
        <w:outlineLvl w:val="0"/>
        <w:rPr>
          <w:rFonts w:ascii="黑体" w:eastAsia="黑体" w:hAnsi="黑体" w:cs="黑体"/>
          <w:spacing w:val="16"/>
          <w:sz w:val="30"/>
          <w:szCs w:val="30"/>
        </w:rPr>
        <w:sectPr w:rsidR="00BC10D1">
          <w:footerReference w:type="default" r:id="rId11"/>
          <w:pgSz w:w="11906" w:h="16840"/>
          <w:pgMar w:top="1430" w:right="1129" w:bottom="400" w:left="1609" w:header="0" w:footer="0" w:gutter="0"/>
          <w:cols w:space="720"/>
        </w:sectPr>
      </w:pPr>
    </w:p>
    <w:p w:rsidR="00BC10D1" w:rsidRDefault="00CC60F9">
      <w:pPr>
        <w:spacing w:before="63" w:line="227" w:lineRule="auto"/>
        <w:ind w:left="1954"/>
        <w:outlineLvl w:val="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lastRenderedPageBreak/>
        <w:t>第四章评价单元划分与评价方法选择</w:t>
      </w:r>
    </w:p>
    <w:p w:rsidR="00BC10D1" w:rsidRDefault="00CC60F9">
      <w:pPr>
        <w:spacing w:before="253" w:line="229" w:lineRule="auto"/>
        <w:ind w:left="2941"/>
        <w:outlineLvl w:val="1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第一节评价单元的划分</w:t>
      </w:r>
    </w:p>
    <w:p w:rsidR="00BC10D1" w:rsidRDefault="00CC60F9">
      <w:pPr>
        <w:pStyle w:val="a0"/>
        <w:spacing w:before="252" w:line="344" w:lineRule="auto"/>
        <w:ind w:firstLine="558"/>
        <w:jc w:val="both"/>
        <w:rPr>
          <w:lang w:eastAsia="zh-CN"/>
        </w:rPr>
      </w:pPr>
      <w:r>
        <w:rPr>
          <w:spacing w:val="-2"/>
          <w:lang w:eastAsia="zh-CN"/>
        </w:rPr>
        <w:t>划分评价单元时，一般以生产工艺、工艺装置</w:t>
      </w:r>
      <w:r>
        <w:rPr>
          <w:spacing w:val="-3"/>
          <w:lang w:eastAsia="zh-CN"/>
        </w:rPr>
        <w:t>、物料的特点和特征与危</w:t>
      </w:r>
      <w:r>
        <w:rPr>
          <w:spacing w:val="-2"/>
          <w:lang w:eastAsia="zh-CN"/>
        </w:rPr>
        <w:t>险有害因素的类别、分布有机结合起来进行划分，还可</w:t>
      </w:r>
      <w:r>
        <w:rPr>
          <w:spacing w:val="-3"/>
          <w:lang w:eastAsia="zh-CN"/>
        </w:rPr>
        <w:t>以</w:t>
      </w:r>
      <w:proofErr w:type="gramStart"/>
      <w:r>
        <w:rPr>
          <w:spacing w:val="-3"/>
          <w:lang w:eastAsia="zh-CN"/>
        </w:rPr>
        <w:t>按评价</w:t>
      </w:r>
      <w:proofErr w:type="gramEnd"/>
      <w:r>
        <w:rPr>
          <w:spacing w:val="-3"/>
          <w:lang w:eastAsia="zh-CN"/>
        </w:rPr>
        <w:t>的要求将一</w:t>
      </w:r>
      <w:r>
        <w:rPr>
          <w:spacing w:val="-2"/>
          <w:lang w:eastAsia="zh-CN"/>
        </w:rPr>
        <w:t>个评价单元再划分为若干个子单元或更细致的单元，评</w:t>
      </w:r>
      <w:r>
        <w:rPr>
          <w:spacing w:val="-3"/>
          <w:lang w:eastAsia="zh-CN"/>
        </w:rPr>
        <w:t>价单元相对独立，具</w:t>
      </w:r>
      <w:r>
        <w:rPr>
          <w:spacing w:val="-1"/>
          <w:lang w:eastAsia="zh-CN"/>
        </w:rPr>
        <w:t>有明显的特征界限。下面是两种常用的评价单</w:t>
      </w:r>
      <w:r>
        <w:rPr>
          <w:spacing w:val="-2"/>
          <w:lang w:eastAsia="zh-CN"/>
        </w:rPr>
        <w:t>元划分原则和方法。</w:t>
      </w:r>
    </w:p>
    <w:p w:rsidR="00BC10D1" w:rsidRDefault="00CC60F9">
      <w:pPr>
        <w:spacing w:before="191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一、以危险有害因素的类别为主划分评价单元</w:t>
      </w:r>
    </w:p>
    <w:p w:rsidR="00BC10D1" w:rsidRDefault="00CC60F9">
      <w:pPr>
        <w:pStyle w:val="a0"/>
        <w:spacing w:before="311" w:line="266" w:lineRule="auto"/>
        <w:ind w:left="10" w:right="7" w:firstLine="588"/>
        <w:rPr>
          <w:lang w:eastAsia="zh-CN"/>
        </w:rPr>
      </w:pPr>
      <w:r>
        <w:rPr>
          <w:spacing w:val="1"/>
          <w:lang w:eastAsia="zh-CN"/>
        </w:rPr>
        <w:t>1</w:t>
      </w:r>
      <w:r>
        <w:rPr>
          <w:spacing w:val="1"/>
          <w:lang w:eastAsia="zh-CN"/>
        </w:rPr>
        <w:t>、对工艺方案、总体布置及自然条件、社</w:t>
      </w:r>
      <w:r>
        <w:rPr>
          <w:lang w:eastAsia="zh-CN"/>
        </w:rPr>
        <w:t>会环境等影响系统的危险有</w:t>
      </w:r>
      <w:r>
        <w:rPr>
          <w:spacing w:val="-2"/>
          <w:lang w:eastAsia="zh-CN"/>
        </w:rPr>
        <w:t>害因素的分析和评价，宜将整个系统作为一个评价单元。</w:t>
      </w:r>
    </w:p>
    <w:p w:rsidR="00BC10D1" w:rsidRDefault="00BC10D1">
      <w:pPr>
        <w:spacing w:line="318" w:lineRule="auto"/>
        <w:rPr>
          <w:lang w:eastAsia="zh-CN"/>
        </w:rPr>
      </w:pPr>
    </w:p>
    <w:p w:rsidR="00BC10D1" w:rsidRDefault="00CC60F9">
      <w:pPr>
        <w:pStyle w:val="a0"/>
        <w:spacing w:before="92" w:line="219" w:lineRule="auto"/>
        <w:ind w:left="564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、将具有共性危险有害因素的场所和装置划分为一个评价单元。</w:t>
      </w:r>
    </w:p>
    <w:p w:rsidR="00BC10D1" w:rsidRDefault="00CC60F9">
      <w:pPr>
        <w:spacing w:before="294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二、以物质特征划分评价单元</w:t>
      </w:r>
    </w:p>
    <w:p w:rsidR="00BC10D1" w:rsidRDefault="00CC60F9">
      <w:pPr>
        <w:pStyle w:val="a0"/>
        <w:spacing w:before="310" w:line="383" w:lineRule="auto"/>
        <w:ind w:left="10" w:right="41" w:firstLine="545"/>
        <w:rPr>
          <w:lang w:eastAsia="zh-CN"/>
        </w:rPr>
      </w:pPr>
      <w:r>
        <w:rPr>
          <w:spacing w:val="-4"/>
          <w:lang w:eastAsia="zh-CN"/>
        </w:rPr>
        <w:t>评价过程中</w:t>
      </w:r>
      <w:r>
        <w:rPr>
          <w:spacing w:val="-4"/>
          <w:lang w:eastAsia="zh-CN"/>
        </w:rPr>
        <w:t>常</w:t>
      </w:r>
      <w:proofErr w:type="gramStart"/>
      <w:r>
        <w:rPr>
          <w:spacing w:val="-4"/>
          <w:lang w:eastAsia="zh-CN"/>
        </w:rPr>
        <w:t>按装</w:t>
      </w:r>
      <w:proofErr w:type="gramEnd"/>
      <w:r>
        <w:rPr>
          <w:spacing w:val="-4"/>
          <w:lang w:eastAsia="zh-CN"/>
        </w:rPr>
        <w:t>置工艺功能、布置的相对独立性、工艺条件及贮存、</w:t>
      </w:r>
      <w:r>
        <w:rPr>
          <w:spacing w:val="-2"/>
          <w:lang w:eastAsia="zh-CN"/>
        </w:rPr>
        <w:t>处理危险物质的潜在化学能、毒性和危险物质的数量等划分评价单元。</w:t>
      </w:r>
    </w:p>
    <w:p w:rsidR="00BC10D1" w:rsidRDefault="00CC60F9">
      <w:pPr>
        <w:pStyle w:val="a0"/>
        <w:spacing w:before="88" w:line="381" w:lineRule="auto"/>
        <w:ind w:left="14" w:right="2" w:firstLine="611"/>
        <w:rPr>
          <w:lang w:eastAsia="zh-CN"/>
        </w:rPr>
      </w:pPr>
      <w:r>
        <w:rPr>
          <w:spacing w:val="-5"/>
          <w:lang w:eastAsia="zh-CN"/>
        </w:rPr>
        <w:t>由于评价要求和目的不同，并且各</w:t>
      </w:r>
      <w:proofErr w:type="gramStart"/>
      <w:r>
        <w:rPr>
          <w:spacing w:val="-5"/>
          <w:lang w:eastAsia="zh-CN"/>
        </w:rPr>
        <w:t>类评价</w:t>
      </w:r>
      <w:proofErr w:type="gramEnd"/>
      <w:r>
        <w:rPr>
          <w:spacing w:val="-5"/>
          <w:lang w:eastAsia="zh-CN"/>
        </w:rPr>
        <w:t>方法均有自身的特点，只要达</w:t>
      </w:r>
      <w:r>
        <w:rPr>
          <w:spacing w:val="-2"/>
          <w:lang w:eastAsia="zh-CN"/>
        </w:rPr>
        <w:t>到评价目的，评价单元的划分并不要求绝对一致。</w:t>
      </w:r>
    </w:p>
    <w:p w:rsidR="00BC10D1" w:rsidRDefault="00CC60F9">
      <w:pPr>
        <w:pStyle w:val="a0"/>
        <w:spacing w:before="84" w:line="392" w:lineRule="auto"/>
        <w:ind w:left="3" w:firstLine="555"/>
        <w:rPr>
          <w:lang w:eastAsia="zh-CN"/>
        </w:rPr>
      </w:pPr>
      <w:r>
        <w:rPr>
          <w:spacing w:val="-2"/>
          <w:lang w:eastAsia="zh-CN"/>
        </w:rPr>
        <w:t>根据上述常用的评价单元划分原则和方法，</w:t>
      </w:r>
      <w:r>
        <w:rPr>
          <w:spacing w:val="-3"/>
          <w:lang w:eastAsia="zh-CN"/>
        </w:rPr>
        <w:t>以及《安全评价通则》中关</w:t>
      </w:r>
      <w:r>
        <w:rPr>
          <w:spacing w:val="-2"/>
          <w:lang w:eastAsia="zh-CN"/>
        </w:rPr>
        <w:t>于安全评价报告主要内容和要求的规定结合该项</w:t>
      </w:r>
      <w:r>
        <w:rPr>
          <w:spacing w:val="-3"/>
          <w:lang w:eastAsia="zh-CN"/>
        </w:rPr>
        <w:t>目的特点和实际情况，将评</w:t>
      </w:r>
      <w:r>
        <w:rPr>
          <w:spacing w:val="-2"/>
          <w:lang w:eastAsia="zh-CN"/>
        </w:rPr>
        <w:t>价内容划分为以下四个单元：</w:t>
      </w:r>
    </w:p>
    <w:p w:rsidR="00BC10D1" w:rsidRDefault="00CC60F9">
      <w:pPr>
        <w:pStyle w:val="a0"/>
        <w:spacing w:before="59" w:line="220" w:lineRule="auto"/>
        <w:ind w:left="599"/>
        <w:rPr>
          <w:lang w:eastAsia="zh-CN"/>
        </w:rPr>
      </w:pPr>
      <w:r>
        <w:rPr>
          <w:spacing w:val="-8"/>
          <w:lang w:eastAsia="zh-CN"/>
        </w:rPr>
        <w:t>1</w:t>
      </w:r>
      <w:r>
        <w:rPr>
          <w:spacing w:val="-8"/>
          <w:lang w:eastAsia="zh-CN"/>
        </w:rPr>
        <w:t>、安全管理；</w:t>
      </w:r>
    </w:p>
    <w:p w:rsidR="00BC10D1" w:rsidRDefault="00CC60F9">
      <w:pPr>
        <w:pStyle w:val="a0"/>
        <w:spacing w:before="291" w:line="219" w:lineRule="auto"/>
        <w:ind w:left="564"/>
        <w:rPr>
          <w:lang w:eastAsia="zh-CN"/>
        </w:rPr>
      </w:pP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、站址选择及总平面布置；</w:t>
      </w:r>
    </w:p>
    <w:p w:rsidR="00BC10D1" w:rsidRDefault="00CC60F9">
      <w:pPr>
        <w:pStyle w:val="a0"/>
        <w:spacing w:before="294" w:line="221" w:lineRule="auto"/>
        <w:ind w:left="569"/>
        <w:rPr>
          <w:lang w:eastAsia="zh-CN"/>
        </w:rPr>
      </w:pPr>
      <w:r>
        <w:rPr>
          <w:spacing w:val="-4"/>
          <w:lang w:eastAsia="zh-CN"/>
        </w:rPr>
        <w:t>3</w:t>
      </w:r>
      <w:r>
        <w:rPr>
          <w:spacing w:val="-4"/>
          <w:lang w:eastAsia="zh-CN"/>
        </w:rPr>
        <w:t>、加油工艺及设施；</w:t>
      </w:r>
    </w:p>
    <w:p w:rsidR="00BC10D1" w:rsidRDefault="00CC60F9">
      <w:pPr>
        <w:pStyle w:val="a0"/>
        <w:spacing w:before="283" w:line="220" w:lineRule="auto"/>
        <w:ind w:left="558"/>
        <w:rPr>
          <w:lang w:eastAsia="zh-CN"/>
        </w:rPr>
      </w:pPr>
      <w:r>
        <w:rPr>
          <w:spacing w:val="-2"/>
          <w:lang w:eastAsia="zh-CN"/>
        </w:rPr>
        <w:t>4</w:t>
      </w:r>
      <w:r>
        <w:rPr>
          <w:spacing w:val="-2"/>
          <w:lang w:eastAsia="zh-CN"/>
        </w:rPr>
        <w:t>、其它安全设施等。</w:t>
      </w:r>
    </w:p>
    <w:p w:rsidR="00BC10D1" w:rsidRDefault="00BC10D1">
      <w:pPr>
        <w:spacing w:line="327" w:lineRule="auto"/>
        <w:rPr>
          <w:lang w:eastAsia="zh-CN"/>
        </w:rPr>
      </w:pPr>
    </w:p>
    <w:p w:rsidR="00BC10D1" w:rsidRDefault="00CC60F9">
      <w:pPr>
        <w:spacing w:before="98" w:line="229" w:lineRule="auto"/>
        <w:ind w:left="2941"/>
        <w:outlineLvl w:val="1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第二节评价方法的选择</w:t>
      </w:r>
    </w:p>
    <w:p w:rsidR="00BC10D1" w:rsidRDefault="00BC10D1">
      <w:pPr>
        <w:spacing w:line="229" w:lineRule="auto"/>
        <w:rPr>
          <w:rFonts w:ascii="楷体" w:eastAsia="楷体" w:hAnsi="楷体" w:cs="楷体"/>
          <w:sz w:val="30"/>
          <w:szCs w:val="30"/>
          <w:lang w:eastAsia="zh-CN"/>
        </w:rPr>
        <w:sectPr w:rsidR="00BC10D1">
          <w:pgSz w:w="11906" w:h="16840"/>
          <w:pgMar w:top="1430" w:right="1129" w:bottom="400" w:left="1609" w:header="0" w:footer="0" w:gutter="0"/>
          <w:cols w:space="720"/>
        </w:sectPr>
      </w:pPr>
    </w:p>
    <w:p w:rsidR="00BC10D1" w:rsidRDefault="00CC60F9">
      <w:pPr>
        <w:pStyle w:val="a0"/>
        <w:spacing w:before="196" w:line="393" w:lineRule="auto"/>
        <w:ind w:left="144" w:right="111" w:firstLine="558"/>
        <w:jc w:val="both"/>
        <w:rPr>
          <w:lang w:eastAsia="zh-CN"/>
        </w:rPr>
      </w:pPr>
      <w:r>
        <w:rPr>
          <w:spacing w:val="-2"/>
          <w:lang w:eastAsia="zh-CN"/>
        </w:rPr>
        <w:lastRenderedPageBreak/>
        <w:t>在进行安全评价时，应该在认真分析并熟悉评价系统的前</w:t>
      </w:r>
      <w:r>
        <w:rPr>
          <w:spacing w:val="-3"/>
          <w:lang w:eastAsia="zh-CN"/>
        </w:rPr>
        <w:t>提下，选择安</w:t>
      </w:r>
      <w:r>
        <w:rPr>
          <w:spacing w:val="-2"/>
          <w:lang w:eastAsia="zh-CN"/>
        </w:rPr>
        <w:t>全评价方法。选择安全评价方法应遵循充分性、系统性</w:t>
      </w:r>
      <w:r>
        <w:rPr>
          <w:spacing w:val="-3"/>
          <w:lang w:eastAsia="zh-CN"/>
        </w:rPr>
        <w:t>、针对性和合理性的</w:t>
      </w:r>
      <w:r>
        <w:rPr>
          <w:spacing w:val="-5"/>
          <w:lang w:eastAsia="zh-CN"/>
        </w:rPr>
        <w:t>原则。</w:t>
      </w:r>
    </w:p>
    <w:p w:rsidR="00BC10D1" w:rsidRDefault="00CC60F9">
      <w:pPr>
        <w:pStyle w:val="a0"/>
        <w:spacing w:before="81" w:line="399" w:lineRule="auto"/>
        <w:ind w:left="143" w:right="39" w:firstLine="559"/>
        <w:rPr>
          <w:lang w:eastAsia="zh-CN"/>
        </w:rPr>
      </w:pPr>
      <w:r>
        <w:rPr>
          <w:lang w:eastAsia="zh-CN"/>
        </w:rPr>
        <w:t>在选择安全评价方法时，应首先详细分析被评价的系统，</w:t>
      </w:r>
      <w:proofErr w:type="gramStart"/>
      <w:r>
        <w:rPr>
          <w:lang w:eastAsia="zh-CN"/>
        </w:rPr>
        <w:t>明确通过</w:t>
      </w:r>
      <w:proofErr w:type="gramEnd"/>
      <w:r>
        <w:rPr>
          <w:lang w:eastAsia="zh-CN"/>
        </w:rPr>
        <w:t>安全</w:t>
      </w:r>
      <w:r>
        <w:rPr>
          <w:spacing w:val="-8"/>
          <w:lang w:eastAsia="zh-CN"/>
        </w:rPr>
        <w:t>评价要达到的目标，即通过安全评价需要给出哪些、什么样的安全</w:t>
      </w:r>
      <w:r>
        <w:rPr>
          <w:spacing w:val="-9"/>
          <w:lang w:eastAsia="zh-CN"/>
        </w:rPr>
        <w:t>评价结果；</w:t>
      </w:r>
      <w:r>
        <w:rPr>
          <w:lang w:eastAsia="zh-CN"/>
        </w:rPr>
        <w:t>然后应收集尽量多的安全评价方法，将安全评价方法进行分类整理，明确被评价的系统能够提供的基础数据、工艺和其它资料；再根据安全评价要达到</w:t>
      </w:r>
      <w:r>
        <w:rPr>
          <w:spacing w:val="-1"/>
          <w:lang w:eastAsia="zh-CN"/>
        </w:rPr>
        <w:t>的目标以及所需的基础数据、工艺和其它资料，选择适用的安全评价方法。</w:t>
      </w:r>
    </w:p>
    <w:p w:rsidR="00BC10D1" w:rsidRDefault="00CC60F9">
      <w:pPr>
        <w:pStyle w:val="a0"/>
        <w:spacing w:before="82" w:line="392" w:lineRule="auto"/>
        <w:ind w:left="143" w:right="113" w:firstLine="560"/>
      </w:pPr>
      <w:r>
        <w:rPr>
          <w:spacing w:val="-2"/>
          <w:lang w:eastAsia="zh-CN"/>
        </w:rPr>
        <w:t>根据本次安全评价的特点，结合中国石化山东泰山</w:t>
      </w:r>
      <w:r>
        <w:rPr>
          <w:spacing w:val="-3"/>
          <w:lang w:eastAsia="zh-CN"/>
        </w:rPr>
        <w:t>石油股份有限公司肥</w:t>
      </w:r>
      <w:r>
        <w:rPr>
          <w:spacing w:val="-2"/>
          <w:lang w:eastAsia="zh-CN"/>
        </w:rPr>
        <w:t>城</w:t>
      </w:r>
      <w:r>
        <w:rPr>
          <w:rFonts w:hint="eastAsia"/>
          <w:spacing w:val="-2"/>
          <w:lang w:eastAsia="zh-CN"/>
        </w:rPr>
        <w:t>第十四</w:t>
      </w:r>
      <w:r>
        <w:rPr>
          <w:spacing w:val="-2"/>
          <w:lang w:eastAsia="zh-CN"/>
        </w:rPr>
        <w:t>九加油站的具体情况，选用安全检查表、事故树法及危</w:t>
      </w:r>
      <w:r>
        <w:rPr>
          <w:spacing w:val="-3"/>
          <w:lang w:eastAsia="zh-CN"/>
        </w:rPr>
        <w:t>险度评价法</w:t>
      </w:r>
      <w:r>
        <w:rPr>
          <w:spacing w:val="-2"/>
          <w:lang w:eastAsia="zh-CN"/>
        </w:rPr>
        <w:t>对加油站进行评价。</w:t>
      </w:r>
      <w:proofErr w:type="spellStart"/>
      <w:r>
        <w:rPr>
          <w:spacing w:val="-2"/>
        </w:rPr>
        <w:t>具体应用如下表所示</w:t>
      </w:r>
      <w:proofErr w:type="spellEnd"/>
      <w:r>
        <w:rPr>
          <w:spacing w:val="-2"/>
        </w:rPr>
        <w:t>：</w:t>
      </w:r>
    </w:p>
    <w:p w:rsidR="00BC10D1" w:rsidRDefault="00CC60F9">
      <w:pPr>
        <w:spacing w:before="100" w:line="221" w:lineRule="auto"/>
        <w:ind w:left="314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t>表</w:t>
      </w:r>
      <w:r>
        <w:rPr>
          <w:rFonts w:ascii="黑体" w:eastAsia="黑体" w:hAnsi="黑体" w:cs="黑体"/>
          <w:spacing w:val="-3"/>
          <w:sz w:val="24"/>
          <w:szCs w:val="24"/>
        </w:rPr>
        <w:t>4.2-1</w:t>
      </w:r>
      <w:r>
        <w:rPr>
          <w:rFonts w:ascii="黑体" w:eastAsia="黑体" w:hAnsi="黑体" w:cs="黑体"/>
          <w:spacing w:val="-3"/>
          <w:sz w:val="24"/>
          <w:szCs w:val="24"/>
        </w:rPr>
        <w:t>评价方法选择一览表</w:t>
      </w:r>
    </w:p>
    <w:p w:rsidR="00BC10D1" w:rsidRDefault="00BC10D1">
      <w:pPr>
        <w:spacing w:line="50" w:lineRule="auto"/>
        <w:rPr>
          <w:sz w:val="2"/>
        </w:rPr>
      </w:pPr>
    </w:p>
    <w:tbl>
      <w:tblPr>
        <w:tblStyle w:val="TableNormal"/>
        <w:tblW w:w="9406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05"/>
        <w:gridCol w:w="2239"/>
        <w:gridCol w:w="2189"/>
        <w:gridCol w:w="1844"/>
      </w:tblGrid>
      <w:tr w:rsidR="00BC10D1">
        <w:trPr>
          <w:trHeight w:val="482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C10D1" w:rsidRDefault="00BC10D1">
            <w:pPr>
              <w:spacing w:line="335" w:lineRule="auto"/>
            </w:pPr>
          </w:p>
          <w:p w:rsidR="00BC10D1" w:rsidRDefault="00CC60F9">
            <w:pPr>
              <w:pStyle w:val="TableText"/>
              <w:spacing w:before="62" w:line="230" w:lineRule="auto"/>
              <w:ind w:left="149"/>
            </w:pPr>
            <w:proofErr w:type="spellStart"/>
            <w:r>
              <w:rPr>
                <w:b/>
                <w:bCs/>
                <w:spacing w:val="6"/>
              </w:rPr>
              <w:t>序号</w:t>
            </w:r>
            <w:proofErr w:type="spellEnd"/>
          </w:p>
        </w:tc>
        <w:tc>
          <w:tcPr>
            <w:tcW w:w="2405" w:type="dxa"/>
            <w:vMerge w:val="restart"/>
            <w:tcBorders>
              <w:top w:val="single" w:sz="8" w:space="0" w:color="000000"/>
              <w:bottom w:val="nil"/>
            </w:tcBorders>
          </w:tcPr>
          <w:p w:rsidR="00BC10D1" w:rsidRDefault="00BC10D1">
            <w:pPr>
              <w:spacing w:line="333" w:lineRule="auto"/>
            </w:pPr>
          </w:p>
          <w:p w:rsidR="00BC10D1" w:rsidRDefault="00CC60F9">
            <w:pPr>
              <w:pStyle w:val="TableText"/>
              <w:spacing w:before="62" w:line="227" w:lineRule="auto"/>
              <w:ind w:left="778"/>
            </w:pPr>
            <w:proofErr w:type="spellStart"/>
            <w:r>
              <w:rPr>
                <w:b/>
                <w:bCs/>
                <w:spacing w:val="10"/>
              </w:rPr>
              <w:t>评价单元</w:t>
            </w:r>
            <w:proofErr w:type="spellEnd"/>
          </w:p>
        </w:tc>
        <w:tc>
          <w:tcPr>
            <w:tcW w:w="627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BC10D1" w:rsidRDefault="00CC60F9">
            <w:pPr>
              <w:pStyle w:val="TableText"/>
              <w:spacing w:before="154" w:line="227" w:lineRule="auto"/>
              <w:ind w:left="2720"/>
            </w:pPr>
            <w:proofErr w:type="spellStart"/>
            <w:r>
              <w:rPr>
                <w:b/>
                <w:bCs/>
                <w:spacing w:val="10"/>
              </w:rPr>
              <w:t>评价方法</w:t>
            </w:r>
            <w:proofErr w:type="spellEnd"/>
          </w:p>
        </w:tc>
      </w:tr>
      <w:tr w:rsidR="00BC10D1">
        <w:trPr>
          <w:trHeight w:val="471"/>
        </w:trPr>
        <w:tc>
          <w:tcPr>
            <w:tcW w:w="729" w:type="dxa"/>
            <w:vMerge/>
            <w:tcBorders>
              <w:top w:val="nil"/>
              <w:left w:val="single" w:sz="8" w:space="0" w:color="000000"/>
            </w:tcBorders>
          </w:tcPr>
          <w:p w:rsidR="00BC10D1" w:rsidRDefault="00BC10D1"/>
        </w:tc>
        <w:tc>
          <w:tcPr>
            <w:tcW w:w="2405" w:type="dxa"/>
            <w:vMerge/>
            <w:tcBorders>
              <w:top w:val="nil"/>
            </w:tcBorders>
          </w:tcPr>
          <w:p w:rsidR="00BC10D1" w:rsidRDefault="00BC10D1"/>
        </w:tc>
        <w:tc>
          <w:tcPr>
            <w:tcW w:w="2239" w:type="dxa"/>
          </w:tcPr>
          <w:p w:rsidR="00BC10D1" w:rsidRDefault="00CC60F9">
            <w:pPr>
              <w:pStyle w:val="TableText"/>
              <w:spacing w:before="155" w:line="228" w:lineRule="auto"/>
              <w:ind w:left="613"/>
            </w:pPr>
            <w:proofErr w:type="spellStart"/>
            <w:r>
              <w:rPr>
                <w:b/>
                <w:bCs/>
                <w:spacing w:val="10"/>
              </w:rPr>
              <w:t>安全检查表</w:t>
            </w:r>
            <w:proofErr w:type="spellEnd"/>
          </w:p>
        </w:tc>
        <w:tc>
          <w:tcPr>
            <w:tcW w:w="2189" w:type="dxa"/>
          </w:tcPr>
          <w:p w:rsidR="00BC10D1" w:rsidRDefault="00CC60F9">
            <w:pPr>
              <w:pStyle w:val="TableText"/>
              <w:spacing w:before="152" w:line="227" w:lineRule="auto"/>
              <w:ind w:left="489"/>
            </w:pPr>
            <w:proofErr w:type="spellStart"/>
            <w:r>
              <w:rPr>
                <w:b/>
                <w:bCs/>
                <w:spacing w:val="11"/>
              </w:rPr>
              <w:t>危险度评价法</w:t>
            </w:r>
            <w:proofErr w:type="spellEnd"/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C10D1" w:rsidRDefault="00CC60F9">
            <w:pPr>
              <w:pStyle w:val="TableText"/>
              <w:spacing w:before="155" w:line="228" w:lineRule="auto"/>
              <w:ind w:left="520"/>
            </w:pPr>
            <w:proofErr w:type="spellStart"/>
            <w:r>
              <w:rPr>
                <w:b/>
                <w:bCs/>
                <w:spacing w:val="10"/>
              </w:rPr>
              <w:t>事故树法</w:t>
            </w:r>
            <w:proofErr w:type="spellEnd"/>
          </w:p>
        </w:tc>
      </w:tr>
      <w:tr w:rsidR="00BC10D1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BC10D1" w:rsidRDefault="00CC60F9">
            <w:pPr>
              <w:pStyle w:val="TableText"/>
              <w:spacing w:before="192" w:line="190" w:lineRule="auto"/>
              <w:ind w:left="339"/>
            </w:pPr>
            <w:r>
              <w:t>1</w:t>
            </w:r>
          </w:p>
        </w:tc>
        <w:tc>
          <w:tcPr>
            <w:tcW w:w="2405" w:type="dxa"/>
          </w:tcPr>
          <w:p w:rsidR="00BC10D1" w:rsidRDefault="00CC60F9">
            <w:pPr>
              <w:pStyle w:val="TableText"/>
              <w:spacing w:before="161" w:line="228" w:lineRule="auto"/>
              <w:ind w:left="582"/>
            </w:pPr>
            <w:proofErr w:type="spellStart"/>
            <w:r>
              <w:rPr>
                <w:spacing w:val="13"/>
              </w:rPr>
              <w:t>安全管理单元</w:t>
            </w:r>
            <w:proofErr w:type="spellEnd"/>
          </w:p>
        </w:tc>
        <w:tc>
          <w:tcPr>
            <w:tcW w:w="2239" w:type="dxa"/>
          </w:tcPr>
          <w:p w:rsidR="00BC10D1" w:rsidRDefault="00CC60F9">
            <w:pPr>
              <w:pStyle w:val="TableText"/>
              <w:spacing w:before="169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BC10D1" w:rsidRDefault="00BC10D1"/>
        </w:tc>
        <w:tc>
          <w:tcPr>
            <w:tcW w:w="1844" w:type="dxa"/>
            <w:tcBorders>
              <w:right w:val="single" w:sz="8" w:space="0" w:color="000000"/>
            </w:tcBorders>
          </w:tcPr>
          <w:p w:rsidR="00BC10D1" w:rsidRDefault="00BC10D1"/>
        </w:tc>
      </w:tr>
      <w:tr w:rsidR="00BC10D1">
        <w:trPr>
          <w:trHeight w:val="471"/>
        </w:trPr>
        <w:tc>
          <w:tcPr>
            <w:tcW w:w="729" w:type="dxa"/>
            <w:tcBorders>
              <w:left w:val="single" w:sz="8" w:space="0" w:color="000000"/>
            </w:tcBorders>
          </w:tcPr>
          <w:p w:rsidR="00BC10D1" w:rsidRDefault="00CC60F9">
            <w:pPr>
              <w:pStyle w:val="TableText"/>
              <w:spacing w:before="198" w:line="189" w:lineRule="auto"/>
              <w:ind w:left="313"/>
            </w:pPr>
            <w:r>
              <w:t>2</w:t>
            </w:r>
          </w:p>
        </w:tc>
        <w:tc>
          <w:tcPr>
            <w:tcW w:w="2405" w:type="dxa"/>
          </w:tcPr>
          <w:p w:rsidR="00BC10D1" w:rsidRDefault="00CC60F9">
            <w:pPr>
              <w:pStyle w:val="TableText"/>
              <w:spacing w:before="169" w:line="227" w:lineRule="auto"/>
              <w:ind w:left="154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站址选择及总平面布置</w:t>
            </w:r>
          </w:p>
        </w:tc>
        <w:tc>
          <w:tcPr>
            <w:tcW w:w="2239" w:type="dxa"/>
          </w:tcPr>
          <w:p w:rsidR="00BC10D1" w:rsidRDefault="00CC60F9">
            <w:pPr>
              <w:pStyle w:val="TableText"/>
              <w:spacing w:before="176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BC10D1" w:rsidRDefault="00BC10D1"/>
        </w:tc>
        <w:tc>
          <w:tcPr>
            <w:tcW w:w="1844" w:type="dxa"/>
            <w:tcBorders>
              <w:right w:val="single" w:sz="8" w:space="0" w:color="000000"/>
            </w:tcBorders>
          </w:tcPr>
          <w:p w:rsidR="00BC10D1" w:rsidRDefault="00BC10D1"/>
        </w:tc>
      </w:tr>
      <w:tr w:rsidR="00BC10D1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BC10D1" w:rsidRDefault="00CC60F9">
            <w:pPr>
              <w:pStyle w:val="TableText"/>
              <w:spacing w:before="207" w:line="189" w:lineRule="auto"/>
              <w:ind w:left="317"/>
            </w:pPr>
            <w:r>
              <w:t>3</w:t>
            </w:r>
          </w:p>
        </w:tc>
        <w:tc>
          <w:tcPr>
            <w:tcW w:w="2405" w:type="dxa"/>
          </w:tcPr>
          <w:p w:rsidR="00BC10D1" w:rsidRDefault="00CC60F9">
            <w:pPr>
              <w:pStyle w:val="TableText"/>
              <w:spacing w:before="177" w:line="230" w:lineRule="auto"/>
              <w:ind w:left="467"/>
            </w:pPr>
            <w:proofErr w:type="spellStart"/>
            <w:r>
              <w:rPr>
                <w:spacing w:val="15"/>
              </w:rPr>
              <w:t>加油工艺及设施</w:t>
            </w:r>
            <w:proofErr w:type="spellEnd"/>
          </w:p>
        </w:tc>
        <w:tc>
          <w:tcPr>
            <w:tcW w:w="2239" w:type="dxa"/>
          </w:tcPr>
          <w:p w:rsidR="00BC10D1" w:rsidRDefault="00CC60F9">
            <w:pPr>
              <w:pStyle w:val="TableText"/>
              <w:spacing w:before="183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BC10D1" w:rsidRDefault="00CC60F9">
            <w:pPr>
              <w:pStyle w:val="TableText"/>
              <w:spacing w:before="183" w:line="235" w:lineRule="auto"/>
              <w:ind w:left="1018"/>
            </w:pPr>
            <w:r>
              <w:t>★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C10D1" w:rsidRDefault="00CC60F9">
            <w:pPr>
              <w:pStyle w:val="TableText"/>
              <w:spacing w:before="183" w:line="235" w:lineRule="auto"/>
              <w:ind w:left="842"/>
            </w:pPr>
            <w:r>
              <w:t>★</w:t>
            </w:r>
          </w:p>
        </w:tc>
      </w:tr>
      <w:tr w:rsidR="00BC10D1">
        <w:trPr>
          <w:trHeight w:val="510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</w:tcPr>
          <w:p w:rsidR="00BC10D1" w:rsidRDefault="00CC60F9">
            <w:pPr>
              <w:pStyle w:val="TableText"/>
              <w:spacing w:before="216" w:line="189" w:lineRule="auto"/>
              <w:ind w:left="307"/>
            </w:pPr>
            <w:r>
              <w:t>4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</w:tcPr>
          <w:p w:rsidR="00BC10D1" w:rsidRDefault="00CC60F9">
            <w:pPr>
              <w:pStyle w:val="TableText"/>
              <w:spacing w:before="187" w:line="230" w:lineRule="auto"/>
              <w:ind w:left="574"/>
            </w:pPr>
            <w:proofErr w:type="spellStart"/>
            <w:r>
              <w:rPr>
                <w:spacing w:val="14"/>
              </w:rPr>
              <w:t>其它安全设施</w:t>
            </w:r>
            <w:proofErr w:type="spellEnd"/>
          </w:p>
        </w:tc>
        <w:tc>
          <w:tcPr>
            <w:tcW w:w="2239" w:type="dxa"/>
            <w:tcBorders>
              <w:bottom w:val="single" w:sz="8" w:space="0" w:color="000000"/>
            </w:tcBorders>
          </w:tcPr>
          <w:p w:rsidR="00BC10D1" w:rsidRDefault="00CC60F9">
            <w:pPr>
              <w:pStyle w:val="TableText"/>
              <w:spacing w:before="192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  <w:tcBorders>
              <w:bottom w:val="single" w:sz="8" w:space="0" w:color="000000"/>
            </w:tcBorders>
          </w:tcPr>
          <w:p w:rsidR="00BC10D1" w:rsidRDefault="00BC10D1"/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BC10D1" w:rsidRDefault="00BC10D1"/>
        </w:tc>
      </w:tr>
    </w:tbl>
    <w:p w:rsidR="00BC10D1" w:rsidRDefault="00CC60F9">
      <w:pPr>
        <w:spacing w:before="153" w:line="230" w:lineRule="auto"/>
        <w:ind w:left="563"/>
        <w:rPr>
          <w:rFonts w:ascii="黑体" w:eastAsia="黑体" w:hAnsi="黑体" w:cs="黑体"/>
          <w:sz w:val="19"/>
          <w:szCs w:val="19"/>
          <w:lang w:eastAsia="zh-CN"/>
        </w:rPr>
      </w:pP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注：表中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“★”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表示采用的评价方法。</w:t>
      </w:r>
    </w:p>
    <w:p w:rsidR="00BC10D1" w:rsidRDefault="00BC10D1">
      <w:pPr>
        <w:spacing w:line="381" w:lineRule="auto"/>
        <w:rPr>
          <w:lang w:eastAsia="zh-CN"/>
        </w:rPr>
      </w:pPr>
    </w:p>
    <w:p w:rsidR="00BC10D1" w:rsidRDefault="00CC60F9">
      <w:pPr>
        <w:pStyle w:val="a0"/>
        <w:spacing w:before="91" w:line="141" w:lineRule="exact"/>
        <w:ind w:left="757"/>
        <w:rPr>
          <w:lang w:eastAsia="zh-CN"/>
        </w:rPr>
      </w:pPr>
      <w:r>
        <w:rPr>
          <w:position w:val="1"/>
          <w:lang w:eastAsia="zh-CN"/>
        </w:rPr>
        <w:t>。</w:t>
      </w:r>
    </w:p>
    <w:p w:rsidR="00BC10D1" w:rsidRDefault="00BC10D1">
      <w:pPr>
        <w:spacing w:line="141" w:lineRule="exact"/>
        <w:rPr>
          <w:lang w:eastAsia="zh-CN"/>
        </w:rPr>
        <w:sectPr w:rsidR="00BC10D1">
          <w:pgSz w:w="11906" w:h="16840"/>
          <w:pgMar w:top="1431" w:right="1014" w:bottom="400" w:left="1465" w:header="0" w:footer="0" w:gutter="0"/>
          <w:cols w:space="720"/>
        </w:sectPr>
      </w:pPr>
    </w:p>
    <w:p w:rsidR="00BC10D1" w:rsidRDefault="00CC60F9">
      <w:pPr>
        <w:pStyle w:val="1"/>
        <w:widowControl w:val="0"/>
        <w:adjustRightInd w:val="0"/>
        <w:snapToGrid w:val="0"/>
        <w:spacing w:beforeLines="150" w:before="468" w:afterLines="50" w:after="156" w:line="360" w:lineRule="auto"/>
      </w:pPr>
      <w:bookmarkStart w:id="15" w:name="_Toc15033761"/>
      <w:bookmarkStart w:id="16" w:name="_Toc102633914"/>
      <w:bookmarkStart w:id="17" w:name="_Toc102634414"/>
      <w:bookmarkStart w:id="18" w:name="_Toc9894"/>
      <w:bookmarkStart w:id="19" w:name="_Toc102634276"/>
      <w:bookmarkStart w:id="20" w:name="_Toc102633988"/>
      <w:r>
        <w:lastRenderedPageBreak/>
        <w:t>第六章</w:t>
      </w:r>
      <w:r>
        <w:t xml:space="preserve">  </w:t>
      </w:r>
      <w:r>
        <w:t>安全对策措施及建议</w:t>
      </w:r>
      <w:bookmarkEnd w:id="15"/>
      <w:bookmarkEnd w:id="16"/>
      <w:bookmarkEnd w:id="17"/>
      <w:bookmarkEnd w:id="18"/>
      <w:bookmarkEnd w:id="19"/>
      <w:bookmarkEnd w:id="20"/>
    </w:p>
    <w:p w:rsidR="00BC10D1" w:rsidRDefault="00CC60F9">
      <w:pPr>
        <w:spacing w:before="120" w:after="120" w:line="560" w:lineRule="exact"/>
        <w:jc w:val="center"/>
        <w:outlineLvl w:val="1"/>
        <w:rPr>
          <w:rFonts w:ascii="Calibri" w:eastAsia="楷体_GB2312" w:hAnsi="Calibri"/>
          <w:b/>
          <w:color w:val="auto"/>
          <w:sz w:val="32"/>
          <w:szCs w:val="20"/>
          <w:lang w:eastAsia="zh-CN"/>
        </w:rPr>
      </w:pPr>
      <w:bookmarkStart w:id="21" w:name="_Toc225046264"/>
      <w:bookmarkStart w:id="22" w:name="_Toc339456079"/>
      <w:bookmarkStart w:id="23" w:name="_Toc102633989"/>
      <w:bookmarkStart w:id="24" w:name="_Toc102634415"/>
      <w:bookmarkStart w:id="25" w:name="_Toc348877039"/>
      <w:bookmarkStart w:id="26" w:name="_Toc4961"/>
      <w:bookmarkStart w:id="27" w:name="_Toc102633915"/>
      <w:bookmarkStart w:id="28" w:name="_Toc242065302"/>
      <w:bookmarkStart w:id="29" w:name="_Toc102634277"/>
      <w:bookmarkStart w:id="30" w:name="_Toc15033762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第一节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 xml:space="preserve"> </w:t>
      </w:r>
      <w:bookmarkEnd w:id="21"/>
      <w:bookmarkEnd w:id="22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存在的问题及整改建议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C10D1" w:rsidRDefault="00CC60F9">
      <w:pPr>
        <w:spacing w:line="360" w:lineRule="auto"/>
        <w:ind w:firstLineChars="200" w:firstLine="560"/>
        <w:rPr>
          <w:rFonts w:ascii="宋体"/>
          <w:color w:val="auto"/>
          <w:sz w:val="28"/>
          <w:szCs w:val="20"/>
          <w:lang w:eastAsia="zh-CN"/>
        </w:rPr>
      </w:pPr>
      <w:bookmarkStart w:id="31" w:name="_Toc49590281"/>
      <w:bookmarkStart w:id="32" w:name="_Toc15033763"/>
      <w:r>
        <w:rPr>
          <w:rFonts w:ascii="宋体"/>
          <w:color w:val="auto"/>
          <w:sz w:val="28"/>
          <w:szCs w:val="20"/>
          <w:lang w:eastAsia="zh-CN"/>
        </w:rPr>
        <w:t>通过现场检查和审查有关资料</w:t>
      </w:r>
      <w:r>
        <w:rPr>
          <w:rFonts w:ascii="宋体" w:hint="eastAsia"/>
          <w:color w:val="auto"/>
          <w:sz w:val="28"/>
          <w:szCs w:val="20"/>
          <w:lang w:eastAsia="zh-CN"/>
        </w:rPr>
        <w:t>可以看出，该加油站</w:t>
      </w:r>
      <w:r>
        <w:rPr>
          <w:rFonts w:ascii="宋体" w:hint="eastAsia"/>
          <w:color w:val="auto"/>
          <w:sz w:val="28"/>
          <w:szCs w:val="20"/>
          <w:lang w:eastAsia="zh-CN"/>
        </w:rPr>
        <w:t>存在以下</w:t>
      </w:r>
      <w:r>
        <w:rPr>
          <w:rFonts w:ascii="宋体" w:hint="eastAsia"/>
          <w:color w:val="auto"/>
          <w:sz w:val="28"/>
          <w:szCs w:val="20"/>
          <w:lang w:eastAsia="zh-CN"/>
        </w:rPr>
        <w:t>问题</w:t>
      </w:r>
      <w:r>
        <w:rPr>
          <w:rFonts w:ascii="宋体" w:hint="eastAsia"/>
          <w:color w:val="auto"/>
          <w:sz w:val="28"/>
          <w:szCs w:val="20"/>
          <w:lang w:eastAsia="zh-CN"/>
        </w:rPr>
        <w:t>：</w:t>
      </w:r>
    </w:p>
    <w:p w:rsidR="00BC10D1" w:rsidRDefault="00CC60F9">
      <w:pPr>
        <w:spacing w:line="360" w:lineRule="auto"/>
        <w:jc w:val="center"/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>表</w:t>
      </w:r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>6.1-</w:t>
      </w:r>
      <w:proofErr w:type="gramStart"/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 xml:space="preserve">1  </w:t>
      </w:r>
      <w:proofErr w:type="spellStart"/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>现场存在问题表</w:t>
      </w:r>
      <w:proofErr w:type="spellEnd"/>
      <w:proofErr w:type="gramEnd"/>
    </w:p>
    <w:tbl>
      <w:tblPr>
        <w:tblW w:w="94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45"/>
        <w:gridCol w:w="4740"/>
      </w:tblGrid>
      <w:tr w:rsidR="00BC10D1">
        <w:trPr>
          <w:trHeight w:val="522"/>
          <w:tblHeader/>
          <w:jc w:val="center"/>
        </w:trPr>
        <w:tc>
          <w:tcPr>
            <w:tcW w:w="817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序号</w:t>
            </w:r>
            <w:proofErr w:type="spellEnd"/>
          </w:p>
        </w:tc>
        <w:tc>
          <w:tcPr>
            <w:tcW w:w="3845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企业存在的问题</w:t>
            </w:r>
            <w:proofErr w:type="spellEnd"/>
          </w:p>
        </w:tc>
        <w:tc>
          <w:tcPr>
            <w:tcW w:w="4740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整改建议措施</w:t>
            </w:r>
            <w:proofErr w:type="spellEnd"/>
          </w:p>
        </w:tc>
      </w:tr>
      <w:tr w:rsidR="00BC10D1">
        <w:trPr>
          <w:trHeight w:val="446"/>
          <w:jc w:val="center"/>
        </w:trPr>
        <w:tc>
          <w:tcPr>
            <w:tcW w:w="817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Cs/>
                <w:color w:val="auto"/>
                <w:position w:val="2"/>
                <w:u w:color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2"/>
                <w:u w:color="000000"/>
                <w:lang w:eastAsia="zh-CN"/>
              </w:rPr>
              <w:t>1</w:t>
            </w:r>
          </w:p>
        </w:tc>
        <w:tc>
          <w:tcPr>
            <w:tcW w:w="3845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cs="Times New Roman" w:hint="eastAsia"/>
                <w:color w:val="auto"/>
                <w:u w:color="000000"/>
                <w:lang w:eastAsia="zh-CN"/>
              </w:rPr>
              <w:t>站房内急停按钮处无防护罩。</w:t>
            </w:r>
          </w:p>
        </w:tc>
        <w:tc>
          <w:tcPr>
            <w:tcW w:w="4740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cs="Times New Roman" w:hint="eastAsia"/>
                <w:color w:val="auto"/>
                <w:u w:color="000000"/>
                <w:lang w:eastAsia="zh-CN"/>
              </w:rPr>
              <w:t>站房内急停按钮处应设防护罩。</w:t>
            </w:r>
          </w:p>
        </w:tc>
      </w:tr>
      <w:tr w:rsidR="00BC10D1">
        <w:trPr>
          <w:trHeight w:val="446"/>
          <w:jc w:val="center"/>
        </w:trPr>
        <w:tc>
          <w:tcPr>
            <w:tcW w:w="817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cs="Times New Roman"/>
                <w:bCs/>
                <w:color w:val="auto"/>
                <w:position w:val="2"/>
                <w:u w:color="000000"/>
                <w:lang w:eastAsia="zh-CN"/>
              </w:rPr>
            </w:pPr>
            <w:r>
              <w:rPr>
                <w:rFonts w:cs="Times New Roman" w:hint="eastAsia"/>
                <w:bCs/>
                <w:color w:val="auto"/>
                <w:position w:val="2"/>
                <w:u w:color="000000"/>
                <w:lang w:eastAsia="zh-CN"/>
              </w:rPr>
              <w:t>3</w:t>
            </w:r>
          </w:p>
        </w:tc>
        <w:tc>
          <w:tcPr>
            <w:tcW w:w="3845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cs="Times New Roman"/>
                <w:color w:val="auto"/>
                <w:u w:color="000000"/>
                <w:lang w:eastAsia="zh-CN"/>
              </w:rPr>
            </w:pPr>
            <w:r>
              <w:rPr>
                <w:rFonts w:cs="Times New Roman" w:hint="eastAsia"/>
                <w:color w:val="auto"/>
                <w:u w:color="000000"/>
                <w:lang w:eastAsia="zh-CN"/>
              </w:rPr>
              <w:t>配电室内二氧化碳灭火器未设点检卡。</w:t>
            </w:r>
          </w:p>
        </w:tc>
        <w:tc>
          <w:tcPr>
            <w:tcW w:w="4740" w:type="dxa"/>
            <w:vAlign w:val="center"/>
          </w:tcPr>
          <w:p w:rsidR="00BC10D1" w:rsidRDefault="00CC60F9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cs="Times New Roman"/>
                <w:color w:val="auto"/>
                <w:u w:color="000000"/>
                <w:lang w:eastAsia="zh-CN"/>
              </w:rPr>
            </w:pPr>
            <w:r>
              <w:rPr>
                <w:rFonts w:cs="Times New Roman" w:hint="eastAsia"/>
                <w:color w:val="auto"/>
                <w:u w:color="000000"/>
                <w:lang w:eastAsia="zh-CN"/>
              </w:rPr>
              <w:t>站内灭火器应定时检查并做好记录。</w:t>
            </w:r>
          </w:p>
        </w:tc>
      </w:tr>
    </w:tbl>
    <w:bookmarkEnd w:id="31"/>
    <w:bookmarkEnd w:id="32"/>
    <w:p w:rsidR="007B5D07" w:rsidRPr="007B5D07" w:rsidRDefault="00CC60F9" w:rsidP="007B5D07">
      <w:pPr>
        <w:tabs>
          <w:tab w:val="left" w:pos="698"/>
        </w:tabs>
        <w:ind w:firstLineChars="200" w:firstLine="560"/>
        <w:rPr>
          <w:rFonts w:ascii="宋体" w:eastAsiaTheme="minorEastAsia" w:hint="eastAsia"/>
          <w:color w:val="auto"/>
          <w:sz w:val="28"/>
          <w:szCs w:val="20"/>
          <w:lang w:eastAsia="zh-CN"/>
        </w:rPr>
        <w:sectPr w:rsidR="007B5D07" w:rsidRPr="007B5D07">
          <w:pgSz w:w="11906" w:h="16838"/>
          <w:pgMar w:top="1418" w:right="1134" w:bottom="993" w:left="1588" w:header="850" w:footer="256" w:gutter="0"/>
          <w:cols w:space="720"/>
          <w:docGrid w:type="lines" w:linePitch="312"/>
        </w:sectPr>
      </w:pPr>
      <w:r>
        <w:rPr>
          <w:rFonts w:ascii="微软雅黑" w:eastAsia="微软雅黑" w:hAnsi="微软雅黑" w:cs="微软雅黑" w:hint="eastAsia"/>
          <w:color w:val="auto"/>
          <w:sz w:val="28"/>
          <w:szCs w:val="20"/>
          <w:lang w:eastAsia="zh-CN"/>
        </w:rPr>
        <w:t>该加油站在安全管理、站址选择及总平面布置、加油工艺及设施、其它设施等方面符合有关法律</w:t>
      </w:r>
      <w:r w:rsidRPr="007B5D07">
        <w:rPr>
          <w:rFonts w:ascii="微软雅黑" w:eastAsia="微软雅黑" w:hAnsi="微软雅黑" w:cs="微软雅黑" w:hint="eastAsia"/>
          <w:b/>
          <w:color w:val="auto"/>
          <w:sz w:val="28"/>
          <w:szCs w:val="20"/>
          <w:lang w:eastAsia="zh-CN"/>
        </w:rPr>
        <w:t>、</w:t>
      </w:r>
      <w:r>
        <w:rPr>
          <w:rFonts w:ascii="微软雅黑" w:eastAsia="微软雅黑" w:hAnsi="微软雅黑" w:cs="微软雅黑" w:hint="eastAsia"/>
          <w:color w:val="auto"/>
          <w:sz w:val="28"/>
          <w:szCs w:val="20"/>
          <w:lang w:eastAsia="zh-CN"/>
        </w:rPr>
        <w:t>标准规范的要求。</w:t>
      </w:r>
      <w:bookmarkStart w:id="33" w:name="_GoBack"/>
      <w:bookmarkEnd w:id="33"/>
    </w:p>
    <w:p w:rsidR="00BC10D1" w:rsidRDefault="00CC60F9">
      <w:pPr>
        <w:spacing w:line="14733" w:lineRule="exact"/>
        <w:rPr>
          <w:rFonts w:eastAsia="宋体" w:hint="eastAsia"/>
          <w:lang w:eastAsia="zh-CN"/>
        </w:rPr>
        <w:sectPr w:rsidR="00BC10D1">
          <w:pgSz w:w="11906" w:h="16840"/>
          <w:pgMar w:top="1176" w:right="1701" w:bottom="400" w:left="1540" w:header="0" w:footer="0" w:gutter="0"/>
          <w:cols w:space="720"/>
        </w:sect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-1004222</wp:posOffset>
            </wp:positionH>
            <wp:positionV relativeFrom="paragraph">
              <wp:posOffset>1617691</wp:posOffset>
            </wp:positionV>
            <wp:extent cx="8051741" cy="6036945"/>
            <wp:effectExtent l="0" t="2540" r="4445" b="4445"/>
            <wp:wrapNone/>
            <wp:docPr id="17" name="图片 17" descr="7538b94ff5394f8f405560ccba5b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38b94ff5394f8f405560ccba5b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9390" cy="604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0D1" w:rsidRPr="005C2774" w:rsidRDefault="00BC10D1">
      <w:pPr>
        <w:spacing w:line="14587" w:lineRule="exact"/>
        <w:jc w:val="both"/>
        <w:rPr>
          <w:rFonts w:eastAsia="宋体" w:hint="eastAsia"/>
          <w:lang w:eastAsia="zh-CN"/>
        </w:rPr>
        <w:sectPr w:rsidR="00BC10D1" w:rsidRPr="005C2774">
          <w:pgSz w:w="11906" w:h="16840"/>
          <w:pgMar w:top="1431" w:right="1415" w:bottom="400" w:left="1634" w:header="0" w:footer="0" w:gutter="0"/>
          <w:cols w:space="720"/>
        </w:sectPr>
      </w:pPr>
    </w:p>
    <w:p w:rsidR="00BC10D1" w:rsidRPr="005C2774" w:rsidRDefault="00BC10D1" w:rsidP="005C2774">
      <w:pPr>
        <w:spacing w:line="15211" w:lineRule="exact"/>
        <w:rPr>
          <w:rFonts w:eastAsia="宋体" w:hint="eastAsia"/>
          <w:lang w:eastAsia="zh-CN"/>
        </w:rPr>
      </w:pPr>
    </w:p>
    <w:sectPr w:rsidR="00BC10D1" w:rsidRPr="005C2774">
      <w:pgSz w:w="11906" w:h="16840"/>
      <w:pgMar w:top="969" w:right="1768" w:bottom="400" w:left="158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F9" w:rsidRDefault="00CC60F9">
      <w:r>
        <w:separator/>
      </w:r>
    </w:p>
  </w:endnote>
  <w:endnote w:type="continuationSeparator" w:id="0">
    <w:p w:rsidR="00CC60F9" w:rsidRDefault="00C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D1" w:rsidRDefault="00BC10D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F9" w:rsidRDefault="00CC60F9">
      <w:r>
        <w:separator/>
      </w:r>
    </w:p>
  </w:footnote>
  <w:footnote w:type="continuationSeparator" w:id="0">
    <w:p w:rsidR="00CC60F9" w:rsidRDefault="00CC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C10D1"/>
    <w:rsid w:val="004D29C2"/>
    <w:rsid w:val="005C2774"/>
    <w:rsid w:val="007B5D07"/>
    <w:rsid w:val="00BC10D1"/>
    <w:rsid w:val="00CC60F9"/>
    <w:rsid w:val="00DC77D3"/>
    <w:rsid w:val="22C605F7"/>
    <w:rsid w:val="484D40FD"/>
    <w:rsid w:val="54165084"/>
    <w:rsid w:val="672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1AE998"/>
  <w15:docId w15:val="{7EDC10EC-D1F6-43A6-ADFE-9C3A349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Normal Indent"/>
    <w:basedOn w:val="a"/>
    <w:qFormat/>
    <w:pPr>
      <w:ind w:firstLineChars="200" w:firstLine="420"/>
    </w:pPr>
    <w:rPr>
      <w:rFonts w:ascii="Times New Roman" w:hAnsi="Times New Roman"/>
      <w:sz w:val="28"/>
      <w:szCs w:val="20"/>
      <w:u w:color="000000"/>
    </w:rPr>
  </w:style>
  <w:style w:type="paragraph" w:styleId="a5">
    <w:name w:val="annotation text"/>
    <w:basedOn w:val="a"/>
    <w:uiPriority w:val="99"/>
    <w:qFormat/>
    <w:pPr>
      <w:ind w:firstLineChars="200" w:firstLine="200"/>
    </w:pPr>
    <w:rPr>
      <w:sz w:val="28"/>
      <w:szCs w:val="20"/>
      <w:u w:color="000000"/>
    </w:rPr>
  </w:style>
  <w:style w:type="character" w:styleId="a6">
    <w:name w:val="annotation reference"/>
    <w:uiPriority w:val="99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customStyle="1" w:styleId="1">
    <w:name w:val="1评价标题"/>
    <w:autoRedefine/>
    <w:qFormat/>
    <w:pPr>
      <w:pageBreakBefore/>
      <w:spacing w:beforeLines="100" w:before="100" w:afterLines="100" w:after="100" w:line="520" w:lineRule="exact"/>
      <w:jc w:val="center"/>
      <w:outlineLvl w:val="0"/>
    </w:pPr>
    <w:rPr>
      <w:rFonts w:ascii="Times New Roman" w:eastAsia="黑体" w:hAnsi="Times New Roman" w:cs="Times New Roman"/>
      <w:kern w:val="2"/>
      <w:sz w:val="32"/>
      <w:szCs w:val="21"/>
    </w:rPr>
  </w:style>
  <w:style w:type="paragraph" w:customStyle="1" w:styleId="5">
    <w:name w:val="5标题评价表格"/>
    <w:autoRedefine/>
    <w:qFormat/>
    <w:pPr>
      <w:spacing w:line="520" w:lineRule="exact"/>
      <w:jc w:val="center"/>
      <w:outlineLvl w:val="4"/>
    </w:pPr>
    <w:rPr>
      <w:rFonts w:ascii="Times New Roman" w:eastAsia="黑体" w:hAnsi="Times New Roman" w:cs="Times New Roman"/>
      <w:kern w:val="2"/>
      <w:sz w:val="24"/>
      <w:szCs w:val="28"/>
      <w:u w:color="000000"/>
    </w:rPr>
  </w:style>
  <w:style w:type="paragraph" w:customStyle="1" w:styleId="50">
    <w:name w:val="5内容评价表格"/>
    <w:autoRedefine/>
    <w:qFormat/>
    <w:pPr>
      <w:spacing w:line="300" w:lineRule="exact"/>
      <w:jc w:val="center"/>
    </w:pPr>
    <w:rPr>
      <w:rFonts w:ascii="Times New Roman" w:eastAsia="宋体" w:hAnsi="Times New Roman" w:cs="Times New Roman"/>
      <w:kern w:val="2"/>
      <w:sz w:val="21"/>
      <w:szCs w:val="21"/>
      <w:u w:color="000000"/>
    </w:rPr>
  </w:style>
  <w:style w:type="paragraph" w:customStyle="1" w:styleId="7">
    <w:name w:val="7评价备注"/>
    <w:autoRedefine/>
    <w:qFormat/>
    <w:pPr>
      <w:spacing w:line="400" w:lineRule="exact"/>
      <w:ind w:firstLineChars="200" w:firstLine="200"/>
    </w:pPr>
    <w:rPr>
      <w:rFonts w:ascii="Times New Roman" w:eastAsia="黑体" w:hAnsi="Times New Roman" w:cs="Times New Roman"/>
      <w:spacing w:val="4"/>
      <w:kern w:val="2"/>
      <w:sz w:val="21"/>
      <w:szCs w:val="24"/>
    </w:rPr>
  </w:style>
  <w:style w:type="paragraph" w:customStyle="1" w:styleId="6">
    <w:name w:val="6评价正文"/>
    <w:autoRedefine/>
    <w:qFormat/>
    <w:pPr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1093</Words>
  <Characters>6234</Characters>
  <Application>Microsoft Office Word</Application>
  <DocSecurity>0</DocSecurity>
  <Lines>51</Lines>
  <Paragraphs>14</Paragraphs>
  <ScaleCrop>false</ScaleCrop>
  <Company>微软中国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2025-04-16T15:17:00Z</dcterms:created>
  <dcterms:modified xsi:type="dcterms:W3CDTF">2025-05-07T03:33:00Z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2025-04-28T09:43:40Z</vt:filetime>
  </property>
  <property fmtid="{D5CDD505-2E9C-101B-9397-08002B2CF9AE}" pid="4" name="KSOProductBuildVer">
    <vt:lpwstr>2052-12.1.0.18912</vt:lpwstr>
  </property>
  <property fmtid="{D5CDD505-2E9C-101B-9397-08002B2CF9AE}" pid="5" name="ICV">
    <vt:lpwstr>4C74096C8CD64C2194FFCC7A933C185A_12</vt:lpwstr>
  </property>
</Properties>
</file>