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B3A9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7A57BC9C">
      <w:pPr>
        <w:rPr>
          <w:rFonts w:hint="eastAsia"/>
          <w:sz w:val="21"/>
          <w:szCs w:val="21"/>
          <w:lang w:val="en-US" w:eastAsia="zh-CN"/>
        </w:rPr>
      </w:pPr>
      <w:r>
        <w:rPr>
          <w:rFonts w:hint="eastAsia"/>
          <w:sz w:val="21"/>
          <w:szCs w:val="21"/>
          <w:lang w:val="en-US" w:eastAsia="zh-CN"/>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4C7CA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3341165">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7035C3AC">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中国石化山东泰山石油股份有限公司宁阳第十五加油站</w:t>
            </w:r>
          </w:p>
        </w:tc>
      </w:tr>
      <w:tr w14:paraId="73DE5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3F8DCA90">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7794E522">
            <w:pPr>
              <w:adjustRightInd w:val="0"/>
              <w:snapToGrid w:val="0"/>
              <w:spacing w:line="240" w:lineRule="auto"/>
              <w:rPr>
                <w:rFonts w:hint="eastAsia" w:ascii="宋体" w:hAnsi="宋体"/>
                <w:sz w:val="20"/>
                <w:szCs w:val="24"/>
                <w:lang w:val="en-US" w:eastAsia="zh-CN"/>
              </w:rPr>
            </w:pPr>
            <w:r>
              <w:rPr>
                <w:rFonts w:hint="eastAsia" w:ascii="宋体" w:hAnsi="宋体"/>
                <w:sz w:val="20"/>
                <w:szCs w:val="24"/>
                <w:lang w:val="en-US" w:eastAsia="zh-CN"/>
              </w:rPr>
              <w:t>中国石化山东泰山石油股份有限公司宁阳第十五加油站位于宁阳县城七贤路880号，该站西侧是解放路，南侧是架空电力线，东南侧是沿街房，东侧是居民楼，北侧是国税局院落。该站经营许可范围为汽油、乙醇汽油、柴油，现其主要储存经营汽油、乙醇汽油、柴油（0#与-10#换季销售）。此次现状评价报告与上次报告相比，该站卸油作业区新增人体静电释放仪，加油区增设1台可燃气体探测器，其余周边环境、站内设备设施、主要建构筑物均未发生变化。</w:t>
            </w:r>
          </w:p>
          <w:p w14:paraId="655F0F9E">
            <w:pPr>
              <w:adjustRightInd w:val="0"/>
              <w:snapToGrid w:val="0"/>
              <w:spacing w:line="240" w:lineRule="auto"/>
              <w:rPr>
                <w:rFonts w:hint="eastAsia" w:ascii="宋体" w:hAnsi="宋体" w:eastAsia="宋体" w:cs="宋体"/>
                <w:b w:val="0"/>
                <w:bCs w:val="0"/>
                <w:color w:val="auto"/>
                <w:kern w:val="0"/>
                <w:sz w:val="21"/>
                <w:szCs w:val="21"/>
                <w:highlight w:val="none"/>
              </w:rPr>
            </w:pPr>
            <w:r>
              <w:rPr>
                <w:rFonts w:hint="eastAsia" w:ascii="宋体" w:hAnsi="宋体"/>
                <w:sz w:val="20"/>
                <w:szCs w:val="24"/>
                <w:lang w:val="en-US" w:eastAsia="zh-CN"/>
              </w:rPr>
              <w:t>该加油站主要建有站房、油罐区、加油区等。站房在站区东部，加油区在站房西侧，现有2台双枪加油机、1台单枪加油机：其中1台柴油双枪加油机、1台92#乙醇汽油双枪加油机、1台95#汽油单枪加油机，均为自吸式；油罐区布置在站房北侧，自北向南分别为：1台30m³柴油罐、1台30m³95#汽油罐、1台30m³92#乙醇汽油罐，汽油（乙醇汽油）、柴油卸油口均位于罐区北侧，罐区东侧共有通气管4根（含油气回收处理装置通气管）；按《汽车加油加气加氢站技术标准》GB50156-2021标准规定：V=60+30/2=75m3，该站属三级加油站；该站汽油（乙醇汽油）设有卸油油气回收系统、加油油气回收系统及油气回收处理装置。</w:t>
            </w:r>
          </w:p>
        </w:tc>
      </w:tr>
      <w:tr w14:paraId="6C0547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CB40D8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44B4B812">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1FCBB86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6BF92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E120E7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73E7DF0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23E16B3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FD0E9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6086F46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706C29C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237809B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A36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58CF63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471CC88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7BF3D16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42B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D8F6F5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8214A3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14:paraId="4454A16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6871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F4EDAE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66233AE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  静</w:t>
            </w:r>
          </w:p>
        </w:tc>
        <w:tc>
          <w:tcPr>
            <w:tcW w:w="2918" w:type="dxa"/>
            <w:tcBorders>
              <w:tl2br w:val="nil"/>
              <w:tr2bl w:val="nil"/>
            </w:tcBorders>
            <w:shd w:val="clear" w:color="auto" w:fill="auto"/>
            <w:noWrap/>
            <w:vAlign w:val="center"/>
          </w:tcPr>
          <w:p w14:paraId="417B7B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3493A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7502101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6668269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4DA7082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47C2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3D8316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27AD443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  燕</w:t>
            </w:r>
          </w:p>
        </w:tc>
        <w:tc>
          <w:tcPr>
            <w:tcW w:w="2918" w:type="dxa"/>
            <w:tcBorders>
              <w:tl2br w:val="nil"/>
              <w:tr2bl w:val="nil"/>
            </w:tcBorders>
            <w:shd w:val="clear" w:color="auto" w:fill="auto"/>
            <w:noWrap/>
            <w:vAlign w:val="center"/>
          </w:tcPr>
          <w:p w14:paraId="7FAEEC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96E8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A740C7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1B9378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475BE5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83A4C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E3A63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5F4D32A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  虎</w:t>
            </w:r>
          </w:p>
        </w:tc>
        <w:tc>
          <w:tcPr>
            <w:tcW w:w="2918" w:type="dxa"/>
            <w:tcBorders>
              <w:tl2br w:val="nil"/>
              <w:tr2bl w:val="nil"/>
            </w:tcBorders>
            <w:shd w:val="clear" w:color="auto" w:fill="auto"/>
            <w:noWrap/>
            <w:vAlign w:val="center"/>
          </w:tcPr>
          <w:p w14:paraId="0CF7197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763D4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27BF893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5FE832B3">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77464E9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5240011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767DC8D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48E9F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41564D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7CA163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2025.02.18</w:t>
            </w:r>
          </w:p>
        </w:tc>
        <w:tc>
          <w:tcPr>
            <w:tcW w:w="2350" w:type="dxa"/>
            <w:tcBorders>
              <w:tl2br w:val="nil"/>
              <w:tr2bl w:val="nil"/>
            </w:tcBorders>
            <w:shd w:val="clear" w:color="auto" w:fill="auto"/>
            <w:noWrap/>
            <w:vAlign w:val="center"/>
          </w:tcPr>
          <w:p w14:paraId="5F951CA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A0D727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485A9E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9F8E4F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B64544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2025.03.26</w:t>
            </w:r>
          </w:p>
        </w:tc>
        <w:tc>
          <w:tcPr>
            <w:tcW w:w="2350" w:type="dxa"/>
            <w:tcBorders>
              <w:tl2br w:val="nil"/>
              <w:tr2bl w:val="nil"/>
            </w:tcBorders>
            <w:shd w:val="clear" w:color="auto" w:fill="auto"/>
            <w:noWrap/>
            <w:vAlign w:val="center"/>
          </w:tcPr>
          <w:p w14:paraId="69AEC73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C8D8C8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0B67B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F5F5E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46D9683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2025.03.28</w:t>
            </w:r>
          </w:p>
        </w:tc>
        <w:tc>
          <w:tcPr>
            <w:tcW w:w="2350" w:type="dxa"/>
            <w:tcBorders>
              <w:tl2br w:val="nil"/>
              <w:tr2bl w:val="nil"/>
            </w:tcBorders>
            <w:shd w:val="clear" w:color="auto" w:fill="auto"/>
            <w:noWrap/>
            <w:vAlign w:val="center"/>
          </w:tcPr>
          <w:p w14:paraId="4FC9AA0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3DDF3E3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59D3E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1E217AFE">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安全评价报告提交时间：2025.04.02</w:t>
            </w:r>
          </w:p>
        </w:tc>
      </w:tr>
      <w:tr w14:paraId="520FB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6F94C4E7">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09987024">
      <w:pP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br w:type="page"/>
      </w:r>
    </w:p>
    <w:p w14:paraId="48D9972F">
      <w:pPr>
        <w:pStyle w:val="3"/>
        <w:spacing w:line="240" w:lineRule="auto"/>
        <w:ind w:left="0" w:leftChars="0" w:firstLine="0" w:firstLineChars="0"/>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drawing>
          <wp:inline distT="0" distB="0" distL="114300" distR="114300">
            <wp:extent cx="5757545" cy="8300720"/>
            <wp:effectExtent l="0" t="0" r="14605" b="5080"/>
            <wp:docPr id="3" name="图片 3" descr="扫描全能王 2025-04-28 14.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5-04-28 14.29_1"/>
                    <pic:cNvPicPr>
                      <a:picLocks noChangeAspect="1"/>
                    </pic:cNvPicPr>
                  </pic:nvPicPr>
                  <pic:blipFill>
                    <a:blip r:embed="rId4"/>
                    <a:stretch>
                      <a:fillRect/>
                    </a:stretch>
                  </pic:blipFill>
                  <pic:spPr>
                    <a:xfrm>
                      <a:off x="0" y="0"/>
                      <a:ext cx="5757545" cy="8300720"/>
                    </a:xfrm>
                    <a:prstGeom prst="rect">
                      <a:avLst/>
                    </a:prstGeom>
                  </pic:spPr>
                </pic:pic>
              </a:graphicData>
            </a:graphic>
          </wp:inline>
        </w:drawing>
      </w:r>
      <w:r>
        <w:rPr>
          <w:rFonts w:hint="eastAsia" w:ascii="宋体" w:hAnsi="宋体" w:eastAsia="宋体" w:cs="宋体"/>
          <w:b w:val="0"/>
          <w:bCs w:val="0"/>
          <w:color w:val="auto"/>
          <w:kern w:val="0"/>
          <w:sz w:val="24"/>
          <w:szCs w:val="24"/>
          <w:highlight w:val="none"/>
          <w:lang w:val="en-US" w:eastAsia="zh-CN" w:bidi="ar-SA"/>
        </w:rPr>
        <w:drawing>
          <wp:inline distT="0" distB="0" distL="114300" distR="114300">
            <wp:extent cx="5754370" cy="8620760"/>
            <wp:effectExtent l="0" t="0" r="17780" b="8890"/>
            <wp:docPr id="2" name="图片 2" descr="扫描全能王 2025-04-28 14.2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5-04-28 14.29_2"/>
                    <pic:cNvPicPr>
                      <a:picLocks noChangeAspect="1"/>
                    </pic:cNvPicPr>
                  </pic:nvPicPr>
                  <pic:blipFill>
                    <a:blip r:embed="rId5"/>
                    <a:stretch>
                      <a:fillRect/>
                    </a:stretch>
                  </pic:blipFill>
                  <pic:spPr>
                    <a:xfrm>
                      <a:off x="0" y="0"/>
                      <a:ext cx="5754370" cy="8620760"/>
                    </a:xfrm>
                    <a:prstGeom prst="rect">
                      <a:avLst/>
                    </a:prstGeom>
                  </pic:spPr>
                </pic:pic>
              </a:graphicData>
            </a:graphic>
          </wp:inline>
        </w:drawing>
      </w:r>
      <w:r>
        <w:rPr>
          <w:rFonts w:hint="eastAsia" w:ascii="宋体" w:hAnsi="宋体" w:eastAsia="宋体" w:cs="宋体"/>
          <w:b w:val="0"/>
          <w:bCs w:val="0"/>
          <w:color w:val="auto"/>
          <w:kern w:val="0"/>
          <w:sz w:val="24"/>
          <w:szCs w:val="24"/>
          <w:highlight w:val="none"/>
          <w:lang w:val="en-US" w:eastAsia="zh-CN" w:bidi="ar-SA"/>
        </w:rPr>
        <w:drawing>
          <wp:inline distT="0" distB="0" distL="114300" distR="114300">
            <wp:extent cx="5753100" cy="8589645"/>
            <wp:effectExtent l="0" t="0" r="0" b="1905"/>
            <wp:docPr id="1" name="图片 1" descr="扫描全能王 2025-04-28 14.2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5-04-28 14.29_3"/>
                    <pic:cNvPicPr>
                      <a:picLocks noChangeAspect="1"/>
                    </pic:cNvPicPr>
                  </pic:nvPicPr>
                  <pic:blipFill>
                    <a:blip r:embed="rId6"/>
                    <a:stretch>
                      <a:fillRect/>
                    </a:stretch>
                  </pic:blipFill>
                  <pic:spPr>
                    <a:xfrm>
                      <a:off x="0" y="0"/>
                      <a:ext cx="5753100" cy="8589645"/>
                    </a:xfrm>
                    <a:prstGeom prst="rect">
                      <a:avLst/>
                    </a:prstGeom>
                  </pic:spPr>
                </pic:pic>
              </a:graphicData>
            </a:graphic>
          </wp:inline>
        </w:drawing>
      </w:r>
      <w:r>
        <w:rPr>
          <w:rFonts w:hint="eastAsia" w:ascii="宋体" w:hAnsi="宋体" w:eastAsia="宋体" w:cs="宋体"/>
          <w:b w:val="0"/>
          <w:bCs w:val="0"/>
          <w:color w:val="auto"/>
          <w:kern w:val="0"/>
          <w:sz w:val="24"/>
          <w:szCs w:val="24"/>
          <w:highlight w:val="none"/>
          <w:lang w:val="en-US" w:eastAsia="zh-CN" w:bidi="ar-SA"/>
        </w:rPr>
        <w:br w:type="page"/>
      </w:r>
    </w:p>
    <w:p w14:paraId="40D6778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中国石化山东泰山石油股份有限公司宁阳第十五加油站</w:t>
      </w:r>
    </w:p>
    <w:p w14:paraId="4C8FFBC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安全现状评价现场照片</w:t>
      </w:r>
    </w:p>
    <w:p w14:paraId="05D4BEAF">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pPr>
    </w:p>
    <w:p w14:paraId="3DD27D66">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lang w:val="en-US" w:eastAsia="zh-CN"/>
        </w:rPr>
        <w:drawing>
          <wp:inline distT="0" distB="0" distL="114300" distR="114300">
            <wp:extent cx="5421630" cy="4066540"/>
            <wp:effectExtent l="0" t="0" r="7620" b="10160"/>
            <wp:docPr id="5" name="图片 5" descr="IMG_20250328_11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328_115904"/>
                    <pic:cNvPicPr>
                      <a:picLocks noChangeAspect="1"/>
                    </pic:cNvPicPr>
                  </pic:nvPicPr>
                  <pic:blipFill>
                    <a:blip r:embed="rId7"/>
                    <a:stretch>
                      <a:fillRect/>
                    </a:stretch>
                  </pic:blipFill>
                  <pic:spPr>
                    <a:xfrm>
                      <a:off x="0" y="0"/>
                      <a:ext cx="5421630" cy="4066540"/>
                    </a:xfrm>
                    <a:prstGeom prst="rect">
                      <a:avLst/>
                    </a:prstGeom>
                  </pic:spPr>
                </pic:pic>
              </a:graphicData>
            </a:graphic>
          </wp:inline>
        </w:drawing>
      </w:r>
      <w:r>
        <w:rPr>
          <w:rFonts w:hint="default"/>
          <w:lang w:val="en-US" w:eastAsia="zh-CN"/>
        </w:rPr>
        <w:drawing>
          <wp:inline distT="0" distB="0" distL="114300" distR="114300">
            <wp:extent cx="5408930" cy="4057015"/>
            <wp:effectExtent l="0" t="0" r="1270" b="635"/>
            <wp:docPr id="4" name="图片 4" descr="IMG_20250328_11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328_115923"/>
                    <pic:cNvPicPr>
                      <a:picLocks noChangeAspect="1"/>
                    </pic:cNvPicPr>
                  </pic:nvPicPr>
                  <pic:blipFill>
                    <a:blip r:embed="rId8"/>
                    <a:stretch>
                      <a:fillRect/>
                    </a:stretch>
                  </pic:blipFill>
                  <pic:spPr>
                    <a:xfrm>
                      <a:off x="0" y="0"/>
                      <a:ext cx="5408930" cy="4057015"/>
                    </a:xfrm>
                    <a:prstGeom prst="rect">
                      <a:avLst/>
                    </a:prstGeom>
                  </pic:spPr>
                </pic:pic>
              </a:graphicData>
            </a:graphic>
          </wp:inline>
        </w:drawing>
      </w:r>
    </w:p>
    <w:p w14:paraId="16CDF603">
      <w:pPr>
        <w:pStyle w:val="16"/>
        <w:widowControl w:val="0"/>
        <w:adjustRightInd w:val="0"/>
        <w:snapToGrid w:val="0"/>
        <w:spacing w:before="468" w:beforeLines="150" w:after="156" w:afterLines="50" w:line="360" w:lineRule="auto"/>
      </w:pPr>
      <w:bookmarkStart w:id="0" w:name="_Toc102634395"/>
      <w:bookmarkStart w:id="1" w:name="_Toc102633895"/>
      <w:bookmarkStart w:id="2" w:name="_Toc102633969"/>
      <w:bookmarkStart w:id="3" w:name="_Toc102634226"/>
      <w:bookmarkStart w:id="4" w:name="_Toc15033742"/>
      <w:r>
        <w:t>第二章 加油站概况</w:t>
      </w:r>
      <w:bookmarkEnd w:id="0"/>
      <w:bookmarkEnd w:id="1"/>
      <w:bookmarkEnd w:id="2"/>
      <w:bookmarkEnd w:id="3"/>
      <w:bookmarkEnd w:id="4"/>
    </w:p>
    <w:p w14:paraId="187FE23E">
      <w:pPr>
        <w:adjustRightInd w:val="0"/>
        <w:snapToGrid w:val="0"/>
        <w:spacing w:line="360" w:lineRule="auto"/>
        <w:jc w:val="center"/>
        <w:outlineLvl w:val="1"/>
        <w:rPr>
          <w:rFonts w:ascii="Calibri" w:hAnsi="Calibri" w:eastAsia="楷体_GB2312"/>
          <w:b/>
          <w:kern w:val="0"/>
          <w:sz w:val="32"/>
          <w:szCs w:val="20"/>
        </w:rPr>
      </w:pPr>
      <w:bookmarkStart w:id="5" w:name="_Toc102633970"/>
      <w:bookmarkStart w:id="6" w:name="_Toc102633896"/>
      <w:bookmarkStart w:id="7" w:name="_Toc272364524"/>
      <w:bookmarkStart w:id="8" w:name="_Toc30066"/>
      <w:bookmarkStart w:id="9" w:name="_Toc102634396"/>
      <w:bookmarkStart w:id="10" w:name="_Toc102634227"/>
      <w:bookmarkStart w:id="11" w:name="_Toc26504"/>
      <w:bookmarkStart w:id="12" w:name="_Toc15033743"/>
      <w:bookmarkStart w:id="13" w:name="_Toc208733856"/>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545B95AD">
      <w:pPr>
        <w:pStyle w:val="15"/>
        <w:widowControl w:val="0"/>
        <w:adjustRightInd w:val="0"/>
        <w:snapToGrid w:val="0"/>
        <w:spacing w:line="360" w:lineRule="auto"/>
        <w:ind w:firstLine="560"/>
        <w:rPr>
          <w:rFonts w:ascii="宋体" w:hAnsi="宋体"/>
          <w:szCs w:val="28"/>
        </w:rPr>
      </w:pPr>
      <w:r>
        <w:rPr>
          <w:rFonts w:hint="eastAsia" w:ascii="宋体" w:hAnsi="宋体"/>
          <w:szCs w:val="28"/>
        </w:rPr>
        <w:t>中国石化山东泰山石油股份有限公司宁阳第十五加油站位于宁阳县城七贤路880号，该站西侧是解放路，南侧是架空电力线，东南侧是沿街房，东侧是居民楼，北侧是国税局院落。该站经营许可范围为汽油、乙醇汽油、柴油，现其主要储存经营汽油、乙醇汽油、柴油（0#与-10#换季销售）。此次现状评价报告与上次报告相比，该站卸油作业区新增人体静电释放仪，加油区增设1台可燃气体探测器，其余周边环境、站内设备设施、主要建构筑物均未发生变化。</w:t>
      </w:r>
    </w:p>
    <w:p w14:paraId="40C1F8C8">
      <w:pPr>
        <w:pStyle w:val="15"/>
        <w:widowControl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该加油站主要建有站房、油罐区、加油区等。站房在站区东部，加油区在站房西侧，现有2台双枪加油机、1台单枪加油机：</w:t>
      </w:r>
      <w:r>
        <w:rPr>
          <w:rFonts w:hint="eastAsia"/>
        </w:rPr>
        <w:t>其中1台柴油双枪加油机、1台92#乙醇汽油双枪加油机、1台95#汽油单枪加油机</w:t>
      </w:r>
      <w:r>
        <w:rPr>
          <w:rFonts w:hint="eastAsia" w:ascii="宋体" w:hAnsi="宋体"/>
          <w:szCs w:val="28"/>
        </w:rPr>
        <w:t>，均为自吸式；油罐区布置在站房北侧，自北向南分别为：1台30m³柴油罐、1台30m³95#汽油罐、1台30m³92#乙醇汽油罐，汽油（乙醇汽油）、柴油卸油口均位于罐区北侧，罐区东侧共有通气管4根（含油气回收处理装置通气管）；按《汽车加油加气加氢站技术标准》GB50156-2021标准规定：V=60+30/2=75m</w:t>
      </w:r>
      <w:r>
        <w:rPr>
          <w:rFonts w:hint="eastAsia" w:ascii="宋体" w:hAnsi="宋体"/>
          <w:szCs w:val="28"/>
          <w:vertAlign w:val="superscript"/>
        </w:rPr>
        <w:t>3</w:t>
      </w:r>
      <w:r>
        <w:rPr>
          <w:rFonts w:hint="eastAsia" w:ascii="宋体" w:hAnsi="宋体"/>
          <w:szCs w:val="28"/>
        </w:rPr>
        <w:t>，该站属三级加油站；该站汽油（乙醇汽油）设有卸油油气回收系统、加油油气回收系统及油气回收处理装置</w:t>
      </w:r>
      <w:r>
        <w:rPr>
          <w:rFonts w:hint="eastAsia" w:ascii="宋体"/>
        </w:rPr>
        <w:t>。</w:t>
      </w:r>
    </w:p>
    <w:p w14:paraId="4D26E3ED">
      <w:pPr>
        <w:pStyle w:val="17"/>
        <w:widowControl w:val="0"/>
        <w:adjustRightInd w:val="0"/>
        <w:snapToGrid w:val="0"/>
        <w:spacing w:line="360" w:lineRule="auto"/>
        <w:outlineLvl w:val="9"/>
      </w:pPr>
      <w:r>
        <w:t>表</w:t>
      </w:r>
      <w:r>
        <w:rPr>
          <w:rFonts w:ascii="黑体" w:hAnsi="黑体"/>
        </w:rPr>
        <w:t xml:space="preserve">2.1-1 </w:t>
      </w:r>
      <w: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0DAE7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736573A7">
            <w:pPr>
              <w:pStyle w:val="18"/>
              <w:widowControl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07161D40">
            <w:pPr>
              <w:pStyle w:val="18"/>
              <w:widowControl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5A38D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D5D8BC2">
            <w:pPr>
              <w:pStyle w:val="18"/>
              <w:widowControl w:val="0"/>
              <w:adjustRightInd w:val="0"/>
              <w:snapToGrid w:val="0"/>
              <w:spacing w:line="360" w:lineRule="auto"/>
              <w:rPr>
                <w:rFonts w:ascii="宋体" w:hAnsi="宋体"/>
                <w:b/>
                <w:bCs/>
              </w:rPr>
            </w:pPr>
          </w:p>
        </w:tc>
        <w:tc>
          <w:tcPr>
            <w:tcW w:w="1667" w:type="pct"/>
            <w:vAlign w:val="center"/>
          </w:tcPr>
          <w:p w14:paraId="4D7B4087">
            <w:pPr>
              <w:pStyle w:val="18"/>
              <w:widowControl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08105018">
            <w:pPr>
              <w:pStyle w:val="18"/>
              <w:widowControl w:val="0"/>
              <w:adjustRightInd w:val="0"/>
              <w:snapToGrid w:val="0"/>
              <w:spacing w:line="360" w:lineRule="auto"/>
              <w:rPr>
                <w:rFonts w:ascii="宋体" w:hAnsi="宋体"/>
                <w:b/>
                <w:bCs/>
              </w:rPr>
            </w:pPr>
            <w:r>
              <w:rPr>
                <w:rFonts w:ascii="宋体" w:hAnsi="宋体"/>
                <w:b/>
                <w:bCs/>
              </w:rPr>
              <w:t>单罐容积</w:t>
            </w:r>
          </w:p>
        </w:tc>
      </w:tr>
      <w:tr w14:paraId="7633F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28FF57D">
            <w:pPr>
              <w:pStyle w:val="18"/>
              <w:widowControl w:val="0"/>
              <w:adjustRightInd w:val="0"/>
              <w:snapToGrid w:val="0"/>
              <w:spacing w:line="360" w:lineRule="auto"/>
              <w:rPr>
                <w:rFonts w:ascii="宋体" w:hAnsi="宋体"/>
              </w:rPr>
            </w:pPr>
            <w:r>
              <w:rPr>
                <w:rFonts w:ascii="宋体" w:hAnsi="宋体"/>
              </w:rPr>
              <w:t>一级</w:t>
            </w:r>
          </w:p>
        </w:tc>
        <w:tc>
          <w:tcPr>
            <w:tcW w:w="1667" w:type="pct"/>
            <w:vAlign w:val="center"/>
          </w:tcPr>
          <w:p w14:paraId="70BC6220">
            <w:pPr>
              <w:pStyle w:val="18"/>
              <w:widowControl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31D36963">
            <w:pPr>
              <w:pStyle w:val="18"/>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14:paraId="41B32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5FBDC9C">
            <w:pPr>
              <w:pStyle w:val="18"/>
              <w:widowControl w:val="0"/>
              <w:adjustRightInd w:val="0"/>
              <w:snapToGrid w:val="0"/>
              <w:spacing w:line="360" w:lineRule="auto"/>
              <w:rPr>
                <w:rFonts w:ascii="宋体" w:hAnsi="宋体"/>
              </w:rPr>
            </w:pPr>
            <w:r>
              <w:rPr>
                <w:rFonts w:ascii="宋体" w:hAnsi="宋体"/>
              </w:rPr>
              <w:t>二级</w:t>
            </w:r>
          </w:p>
        </w:tc>
        <w:tc>
          <w:tcPr>
            <w:tcW w:w="1667" w:type="pct"/>
            <w:vAlign w:val="center"/>
          </w:tcPr>
          <w:p w14:paraId="102F8F99">
            <w:pPr>
              <w:pStyle w:val="18"/>
              <w:widowControl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5736F8CC">
            <w:pPr>
              <w:pStyle w:val="18"/>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14:paraId="50912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1DFF40CE">
            <w:pPr>
              <w:pStyle w:val="18"/>
              <w:widowControl w:val="0"/>
              <w:adjustRightInd w:val="0"/>
              <w:snapToGrid w:val="0"/>
              <w:spacing w:line="360" w:lineRule="auto"/>
              <w:rPr>
                <w:rFonts w:ascii="宋体" w:hAnsi="宋体"/>
              </w:rPr>
            </w:pPr>
            <w:r>
              <w:rPr>
                <w:rFonts w:ascii="宋体" w:hAnsi="宋体"/>
              </w:rPr>
              <w:t>三级</w:t>
            </w:r>
          </w:p>
        </w:tc>
        <w:tc>
          <w:tcPr>
            <w:tcW w:w="1667" w:type="pct"/>
            <w:vAlign w:val="center"/>
          </w:tcPr>
          <w:p w14:paraId="12137B69">
            <w:pPr>
              <w:pStyle w:val="18"/>
              <w:widowControl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25F91071">
            <w:pPr>
              <w:pStyle w:val="18"/>
              <w:widowControl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0CB5ABD8">
      <w:pPr>
        <w:pStyle w:val="19"/>
        <w:widowControl w:val="0"/>
        <w:adjustRightInd w:val="0"/>
        <w:snapToGrid w:val="0"/>
        <w:spacing w:line="360" w:lineRule="auto"/>
        <w:ind w:firstLine="436"/>
      </w:pPr>
      <w:r>
        <w:t>注：</w:t>
      </w:r>
      <w:r>
        <w:rPr>
          <w:rFonts w:hint="eastAsia"/>
        </w:rPr>
        <w:t>V为油罐总容积。</w:t>
      </w:r>
      <w:r>
        <w:t>柴油罐容积可折半计入油罐总容积。</w:t>
      </w:r>
    </w:p>
    <w:p w14:paraId="1B8CC79A">
      <w:pPr>
        <w:pStyle w:val="15"/>
        <w:widowControl w:val="0"/>
        <w:adjustRightInd w:val="0"/>
        <w:snapToGrid w:val="0"/>
        <w:spacing w:line="360" w:lineRule="auto"/>
        <w:ind w:firstLine="560"/>
        <w:rPr>
          <w:rFonts w:ascii="宋体"/>
        </w:rPr>
      </w:pPr>
      <w:r>
        <w:rPr>
          <w:rFonts w:hint="eastAsia" w:ascii="宋体"/>
        </w:rPr>
        <w:t>该站现有职工3人，其中主要负责人1人，安全生产管理人员1人。主要负责人和安全生产管理人员已参加了危险化学品安全管理培训，并取得考核合格证，详见附件。</w:t>
      </w:r>
    </w:p>
    <w:p w14:paraId="411A0435">
      <w:pPr>
        <w:pStyle w:val="15"/>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加油站于2007年05月30日取得了宁阳县公安消防大队出具的《建筑工程消防验收意见书》，编号：宁公消验字[2007]第015号，结论为：经审查认为合格，准许投入使用。详见附件。</w:t>
      </w:r>
    </w:p>
    <w:p w14:paraId="34F8FB8D">
      <w:pPr>
        <w:pStyle w:val="15"/>
        <w:widowControl w:val="0"/>
        <w:adjustRightInd w:val="0"/>
        <w:snapToGrid w:val="0"/>
        <w:spacing w:line="360" w:lineRule="auto"/>
        <w:ind w:firstLine="560"/>
        <w:rPr>
          <w:rFonts w:ascii="宋体"/>
        </w:rPr>
      </w:pPr>
      <w:r>
        <w:rPr>
          <w:rFonts w:hint="eastAsia" w:ascii="宋体"/>
        </w:rPr>
        <w:t>该站于2021年06月22日换发了《成品油零售经营批准证书》，证书编号：鲁油零售证书第3709041009号，证书有效期至2026年06月22日，证书见附件。</w:t>
      </w:r>
    </w:p>
    <w:p w14:paraId="2C1F984B">
      <w:pPr>
        <w:pStyle w:val="15"/>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rPr>
        <w:t>该站于2022年06月20日换发了《危险化学品经营许可证》，证书编号：鲁</w:t>
      </w:r>
      <w:r>
        <w:rPr>
          <w:rFonts w:hint="eastAsia" w:ascii="宋体"/>
          <w:color w:val="000000" w:themeColor="text1"/>
          <w14:textFill>
            <w14:solidFill>
              <w14:schemeClr w14:val="tx1"/>
            </w14:solidFill>
          </w14:textFill>
        </w:rPr>
        <w:t>泰危化经[2022]000298号，证书有效期至2025年06月20日，证书见附件。</w:t>
      </w:r>
    </w:p>
    <w:p w14:paraId="0E655CEE">
      <w:pPr>
        <w:pStyle w:val="15"/>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2024年01月24日该站取得了《不动产权证书》，证书编号为（2024）宁阳县不动产权第0000674号，有效期为2023年05月12日至2063年05月11日，详见附件。</w:t>
      </w:r>
    </w:p>
    <w:p w14:paraId="56973CE6">
      <w:pPr>
        <w:pStyle w:val="15"/>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该站在中国人民财产保险股份有限公司投保了安全生产责任保险，保险期限为2024年06月23日零时至2025年06月22日二十四时，详见附件。</w:t>
      </w:r>
    </w:p>
    <w:p w14:paraId="6F2014AC">
      <w:pPr>
        <w:pStyle w:val="15"/>
        <w:widowControl w:val="0"/>
        <w:adjustRightInd w:val="0"/>
        <w:snapToGrid w:val="0"/>
        <w:spacing w:line="360" w:lineRule="auto"/>
        <w:ind w:firstLine="560"/>
        <w:rPr>
          <w:rFonts w:hint="default" w:ascii="宋体"/>
          <w:lang w:val="en-US" w:eastAsia="zh-CN"/>
        </w:rPr>
      </w:pPr>
      <w:r>
        <w:rPr>
          <w:rFonts w:hint="eastAsia" w:ascii="宋体"/>
          <w:lang w:val="en-US" w:eastAsia="zh-CN"/>
        </w:rPr>
        <w:t>2024年06月28日，济南本安科技发展有限公司对该站可燃气体报警器进行了检验并出具了检验报告，结论为：维护后检验合格，报告有效期至2025年06月27日，详见附件。</w:t>
      </w:r>
    </w:p>
    <w:p w14:paraId="7495FEAB">
      <w:pPr>
        <w:pStyle w:val="15"/>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该站编制了生产安全事故应急预案，于2024年10月17日在泰安市应急管理局进行了备案，备案编号为：370900-2024-0015，详见附件。</w:t>
      </w:r>
    </w:p>
    <w:p w14:paraId="53A9BED7">
      <w:pPr>
        <w:pStyle w:val="15"/>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年0</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26</w:t>
      </w:r>
      <w:r>
        <w:rPr>
          <w:rFonts w:hint="eastAsia" w:ascii="宋体"/>
          <w:color w:val="000000" w:themeColor="text1"/>
          <w14:textFill>
            <w14:solidFill>
              <w14:schemeClr w14:val="tx1"/>
            </w14:solidFill>
          </w14:textFill>
        </w:rPr>
        <w:t>日，山东天科防雷工程有限公司对该站进行了相关防雷设施的检测，出具了合格的《雷电防护装置定期检测报告》，报告编号：（1122016001）[202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D-</w:t>
      </w:r>
      <w:r>
        <w:rPr>
          <w:rFonts w:hint="eastAsia" w:ascii="宋体"/>
          <w:color w:val="000000" w:themeColor="text1"/>
          <w14:textFill>
            <w14:solidFill>
              <w14:schemeClr w14:val="tx1"/>
            </w14:solidFill>
          </w14:textFill>
        </w:rPr>
        <w:t>TANY-0</w:t>
      </w:r>
      <w:r>
        <w:rPr>
          <w:rFonts w:hint="eastAsia" w:ascii="宋体"/>
          <w:color w:val="000000" w:themeColor="text1"/>
          <w:lang w:val="en-US" w:eastAsia="zh-CN"/>
          <w14:textFill>
            <w14:solidFill>
              <w14:schemeClr w14:val="tx1"/>
            </w14:solidFill>
          </w14:textFill>
        </w:rPr>
        <w:t>010</w:t>
      </w:r>
      <w:r>
        <w:rPr>
          <w:rFonts w:hint="eastAsia" w:ascii="宋体"/>
          <w:color w:val="000000" w:themeColor="text1"/>
          <w14:textFill>
            <w14:solidFill>
              <w14:schemeClr w14:val="tx1"/>
            </w14:solidFill>
          </w14:textFill>
        </w:rPr>
        <w:t>，结论为“合格：加油站雷电防护装置符合现行国家防雷规范标准要求”，报告有效期至2025年0</w:t>
      </w:r>
      <w:r>
        <w:rPr>
          <w:rFonts w:hint="eastAsia" w:ascii="宋体"/>
          <w:color w:val="000000" w:themeColor="text1"/>
          <w:lang w:val="en-US" w:eastAsia="zh-CN"/>
          <w14:textFill>
            <w14:solidFill>
              <w14:schemeClr w14:val="tx1"/>
            </w14:solidFill>
          </w14:textFill>
        </w:rPr>
        <w:t>9</w:t>
      </w:r>
      <w:r>
        <w:rPr>
          <w:rFonts w:hint="eastAsia" w:ascii="宋体"/>
          <w:color w:val="000000" w:themeColor="text1"/>
          <w14:textFill>
            <w14:solidFill>
              <w14:schemeClr w14:val="tx1"/>
            </w14:solidFill>
          </w14:textFill>
        </w:rPr>
        <w:t>月21日，检测报告见附件。</w:t>
      </w:r>
    </w:p>
    <w:p w14:paraId="672761D1">
      <w:pPr>
        <w:pStyle w:val="15"/>
        <w:widowControl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17CAC56A">
      <w:pPr>
        <w:pStyle w:val="15"/>
        <w:widowControl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该站各项安全管理制度基本健全，有生产经营单位生产事故应急预案，并定期进行应急救援演练。该加油站消防器材配备齐全，加油站配备了35kg推车式干粉灭火器1具，5kg手提式干粉灭火器10具，CO</w:t>
      </w:r>
      <w:r>
        <w:rPr>
          <w:rFonts w:hint="eastAsia" w:ascii="宋体"/>
          <w:vertAlign w:val="subscript"/>
        </w:rPr>
        <w:t>2</w:t>
      </w:r>
      <w:r>
        <w:rPr>
          <w:rFonts w:hint="eastAsia" w:ascii="宋体"/>
        </w:rPr>
        <w:t>灭火器4具，灭火毯4块，消防锨4把，消防桶2个，消防沙池2m</w:t>
      </w:r>
      <w:r>
        <w:rPr>
          <w:rFonts w:hint="eastAsia" w:ascii="宋体"/>
          <w:vertAlign w:val="superscript"/>
        </w:rPr>
        <w:t>3</w:t>
      </w:r>
      <w:r>
        <w:rPr>
          <w:rFonts w:hint="eastAsia" w:ascii="宋体"/>
        </w:rPr>
        <w:t>。</w:t>
      </w:r>
    </w:p>
    <w:p w14:paraId="31CF3BA2">
      <w:pPr>
        <w:pStyle w:val="15"/>
        <w:widowControl w:val="0"/>
        <w:adjustRightInd w:val="0"/>
        <w:snapToGrid w:val="0"/>
        <w:spacing w:line="360" w:lineRule="auto"/>
        <w:ind w:firstLine="560"/>
        <w:rPr>
          <w:rFonts w:ascii="宋体"/>
          <w:color w:val="auto"/>
        </w:rPr>
      </w:pPr>
      <w:r>
        <w:rPr>
          <w:rFonts w:hint="eastAsia" w:ascii="宋体"/>
        </w:rPr>
        <w:t>该加油站按功能分区布置，有油罐区、加油区、站房，布置较合理</w:t>
      </w:r>
      <w:r>
        <w:rPr>
          <w:rFonts w:hint="eastAsia" w:ascii="宋体"/>
          <w:color w:val="auto"/>
        </w:rPr>
        <w:t>。</w:t>
      </w:r>
    </w:p>
    <w:p w14:paraId="04920B1F">
      <w:pPr>
        <w:pStyle w:val="16"/>
        <w:keepNext w:val="0"/>
        <w:keepLines w:val="0"/>
        <w:widowControl w:val="0"/>
        <w:kinsoku/>
        <w:wordWrap/>
        <w:overflowPunct/>
        <w:topLinePunct w:val="0"/>
        <w:autoSpaceDE/>
        <w:autoSpaceDN/>
        <w:bidi w:val="0"/>
        <w:adjustRightInd w:val="0"/>
        <w:snapToGrid w:val="0"/>
        <w:spacing w:before="468" w:beforeLines="150" w:after="156" w:afterLines="50" w:line="360" w:lineRule="auto"/>
        <w:ind w:firstLine="0"/>
        <w:textAlignment w:val="auto"/>
      </w:pPr>
      <w:bookmarkStart w:id="14" w:name="_Toc102634406"/>
      <w:bookmarkStart w:id="15" w:name="_Toc102633906"/>
      <w:bookmarkStart w:id="16" w:name="_Toc102634255"/>
      <w:bookmarkStart w:id="17" w:name="_Toc102633980"/>
      <w:r>
        <w:t>第四章 评价单元划分与评价方法选择</w:t>
      </w:r>
      <w:bookmarkEnd w:id="14"/>
      <w:bookmarkEnd w:id="15"/>
      <w:bookmarkEnd w:id="16"/>
      <w:bookmarkEnd w:id="17"/>
    </w:p>
    <w:p w14:paraId="78D0D63A">
      <w:pPr>
        <w:keepNext w:val="0"/>
        <w:keepLines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18" w:name="_Toc198026273"/>
      <w:bookmarkStart w:id="19" w:name="_Toc272364536"/>
      <w:bookmarkStart w:id="20" w:name="_Toc102633981"/>
      <w:bookmarkStart w:id="21" w:name="_Toc15033754"/>
      <w:bookmarkStart w:id="22" w:name="_Toc102634256"/>
      <w:bookmarkStart w:id="23" w:name="_Toc102634407"/>
      <w:bookmarkStart w:id="24" w:name="_Toc238007574"/>
      <w:bookmarkStart w:id="25" w:name="_Toc7829"/>
      <w:bookmarkStart w:id="26" w:name="_Toc23543"/>
      <w:bookmarkStart w:id="27" w:name="_Toc192907201"/>
      <w:bookmarkStart w:id="28" w:name="_Toc102633907"/>
      <w:r>
        <w:rPr>
          <w:rFonts w:ascii="Calibri" w:hAnsi="Calibri" w:eastAsia="楷体_GB2312"/>
          <w:b/>
          <w:kern w:val="0"/>
          <w:sz w:val="32"/>
          <w:szCs w:val="20"/>
        </w:rPr>
        <w:t>第一节 评价单元的划分</w:t>
      </w:r>
      <w:bookmarkEnd w:id="18"/>
      <w:bookmarkEnd w:id="19"/>
      <w:bookmarkEnd w:id="20"/>
      <w:bookmarkEnd w:id="21"/>
      <w:bookmarkEnd w:id="22"/>
      <w:bookmarkEnd w:id="23"/>
      <w:bookmarkEnd w:id="24"/>
      <w:bookmarkEnd w:id="25"/>
      <w:bookmarkEnd w:id="26"/>
      <w:bookmarkEnd w:id="27"/>
      <w:bookmarkEnd w:id="28"/>
    </w:p>
    <w:p w14:paraId="016D2A7D">
      <w:pPr>
        <w:pStyle w:val="15"/>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77A4E213">
      <w:pPr>
        <w:pStyle w:val="20"/>
        <w:widowControl w:val="0"/>
        <w:adjustRightInd w:val="0"/>
        <w:snapToGrid w:val="0"/>
        <w:spacing w:line="360" w:lineRule="auto"/>
        <w:ind w:firstLine="560"/>
        <w:jc w:val="both"/>
      </w:pPr>
      <w:bookmarkStart w:id="29" w:name="_Toc102634257"/>
      <w:r>
        <w:rPr>
          <w:rFonts w:hint="eastAsia"/>
        </w:rPr>
        <w:t>一</w:t>
      </w:r>
      <w:r>
        <w:t>、以危险有害因素的类别为主划分评价单元</w:t>
      </w:r>
      <w:bookmarkEnd w:id="29"/>
    </w:p>
    <w:p w14:paraId="2F16A656">
      <w:pPr>
        <w:pStyle w:val="15"/>
        <w:widowControl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4FF844E8">
      <w:pPr>
        <w:pStyle w:val="15"/>
        <w:widowControl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10844DF1">
      <w:pPr>
        <w:pStyle w:val="20"/>
        <w:widowControl w:val="0"/>
        <w:adjustRightInd w:val="0"/>
        <w:snapToGrid w:val="0"/>
        <w:spacing w:line="360" w:lineRule="auto"/>
        <w:ind w:firstLine="560"/>
        <w:jc w:val="both"/>
      </w:pPr>
      <w:bookmarkStart w:id="30" w:name="_Toc102634258"/>
      <w:r>
        <w:rPr>
          <w:rFonts w:hint="eastAsia"/>
        </w:rPr>
        <w:t>二</w:t>
      </w:r>
      <w:r>
        <w:t>、以物质特征划分评价单元</w:t>
      </w:r>
      <w:bookmarkEnd w:id="30"/>
    </w:p>
    <w:p w14:paraId="21FC1350">
      <w:pPr>
        <w:pStyle w:val="15"/>
        <w:widowControl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218AA8BC">
      <w:pPr>
        <w:pStyle w:val="15"/>
        <w:widowControl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0C92FF00">
      <w:pPr>
        <w:pStyle w:val="15"/>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14:paraId="51AB9ADE">
      <w:pPr>
        <w:pStyle w:val="15"/>
        <w:widowControl w:val="0"/>
        <w:adjustRightInd w:val="0"/>
        <w:snapToGrid w:val="0"/>
        <w:spacing w:line="360" w:lineRule="auto"/>
        <w:ind w:firstLine="560"/>
        <w:rPr>
          <w:rFonts w:ascii="宋体"/>
        </w:rPr>
      </w:pPr>
      <w:r>
        <w:rPr>
          <w:rFonts w:ascii="宋体"/>
        </w:rPr>
        <w:t>1、安全管理；</w:t>
      </w:r>
    </w:p>
    <w:p w14:paraId="40ED759B">
      <w:pPr>
        <w:pStyle w:val="15"/>
        <w:widowControl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6DBD1D39">
      <w:pPr>
        <w:pStyle w:val="15"/>
        <w:widowControl w:val="0"/>
        <w:adjustRightInd w:val="0"/>
        <w:snapToGrid w:val="0"/>
        <w:spacing w:line="360" w:lineRule="auto"/>
        <w:ind w:firstLine="560"/>
        <w:rPr>
          <w:rFonts w:ascii="宋体"/>
        </w:rPr>
      </w:pPr>
      <w:r>
        <w:rPr>
          <w:rFonts w:ascii="宋体"/>
        </w:rPr>
        <w:t>3、加油工艺及设施；</w:t>
      </w:r>
    </w:p>
    <w:p w14:paraId="0F3913BA">
      <w:pPr>
        <w:pStyle w:val="15"/>
        <w:widowControl w:val="0"/>
        <w:adjustRightInd w:val="0"/>
        <w:snapToGrid w:val="0"/>
        <w:spacing w:line="360" w:lineRule="auto"/>
        <w:ind w:firstLine="560"/>
        <w:rPr>
          <w:rFonts w:ascii="宋体"/>
        </w:rPr>
      </w:pPr>
      <w:r>
        <w:rPr>
          <w:rFonts w:ascii="宋体"/>
        </w:rPr>
        <w:t>4、其它安全设施等。</w:t>
      </w:r>
      <w:bookmarkStart w:id="31" w:name="_Toc272364537"/>
      <w:bookmarkStart w:id="32" w:name="_Toc15033755"/>
      <w:bookmarkStart w:id="33" w:name="_Toc188080068"/>
      <w:bookmarkStart w:id="34" w:name="_Toc198026274"/>
      <w:bookmarkStart w:id="35" w:name="_Toc238007575"/>
      <w:bookmarkStart w:id="36" w:name="_Toc192907202"/>
      <w:bookmarkStart w:id="37" w:name="_Toc24232"/>
      <w:bookmarkStart w:id="38" w:name="_Toc188079886"/>
      <w:bookmarkStart w:id="39" w:name="_Toc19785"/>
    </w:p>
    <w:p w14:paraId="760FFBD6">
      <w:pPr>
        <w:adjustRightInd w:val="0"/>
        <w:snapToGrid w:val="0"/>
        <w:spacing w:line="360" w:lineRule="auto"/>
        <w:jc w:val="center"/>
        <w:outlineLvl w:val="1"/>
        <w:rPr>
          <w:rFonts w:ascii="Calibri" w:hAnsi="Calibri" w:eastAsia="楷体_GB2312"/>
          <w:b/>
          <w:kern w:val="0"/>
          <w:sz w:val="32"/>
          <w:szCs w:val="20"/>
        </w:rPr>
      </w:pPr>
      <w:bookmarkStart w:id="40" w:name="_Toc102634408"/>
      <w:bookmarkStart w:id="41" w:name="_Toc102633982"/>
      <w:bookmarkStart w:id="42" w:name="_Toc102633908"/>
      <w:bookmarkStart w:id="43" w:name="_Toc102634259"/>
      <w:r>
        <w:rPr>
          <w:rFonts w:ascii="Calibri" w:hAnsi="Calibri" w:eastAsia="楷体_GB2312"/>
          <w:b/>
          <w:kern w:val="0"/>
          <w:sz w:val="32"/>
          <w:szCs w:val="20"/>
        </w:rPr>
        <w:t>第二节 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14:paraId="71DFE941">
      <w:pPr>
        <w:pStyle w:val="15"/>
        <w:widowControl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0AAFAB08">
      <w:pPr>
        <w:pStyle w:val="15"/>
        <w:widowControl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573457BA">
      <w:pPr>
        <w:pStyle w:val="15"/>
        <w:widowControl w:val="0"/>
        <w:adjustRightInd w:val="0"/>
        <w:snapToGrid w:val="0"/>
        <w:spacing w:line="360" w:lineRule="auto"/>
        <w:ind w:firstLine="560"/>
        <w:rPr>
          <w:rFonts w:ascii="宋体"/>
        </w:rPr>
      </w:pPr>
      <w:r>
        <w:rPr>
          <w:rFonts w:ascii="宋体"/>
        </w:rPr>
        <w:t>根据本次安全评价的特点，结合</w:t>
      </w:r>
      <w:r>
        <w:rPr>
          <w:rFonts w:hint="eastAsia" w:ascii="宋体"/>
        </w:rPr>
        <w:t>中国石化山东泰山石油股份有限公司宁阳第十五加油站</w:t>
      </w:r>
      <w:r>
        <w:rPr>
          <w:rFonts w:ascii="宋体"/>
        </w:rPr>
        <w:t>的具体情况，选用安全检查表、事故树法及危险度评价法对加油站进行评价。具体应用如下表所示：</w:t>
      </w:r>
    </w:p>
    <w:p w14:paraId="42C94146">
      <w:pPr>
        <w:pStyle w:val="17"/>
        <w:widowControl w:val="0"/>
        <w:adjustRightInd w:val="0"/>
        <w:snapToGrid w:val="0"/>
        <w:spacing w:line="360" w:lineRule="auto"/>
        <w:outlineLvl w:val="9"/>
        <w:rPr>
          <w:rFonts w:ascii="黑体" w:hAnsi="黑体"/>
        </w:rPr>
      </w:pPr>
      <w:r>
        <w:rPr>
          <w:rFonts w:ascii="黑体" w:hAnsi="黑体"/>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155A7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5F02A919">
            <w:pPr>
              <w:pStyle w:val="18"/>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29B2AE19">
            <w:pPr>
              <w:pStyle w:val="18"/>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7885E2C9">
            <w:pPr>
              <w:pStyle w:val="18"/>
              <w:widowControl w:val="0"/>
              <w:adjustRightInd w:val="0"/>
              <w:snapToGrid w:val="0"/>
              <w:spacing w:line="360" w:lineRule="auto"/>
              <w:rPr>
                <w:rFonts w:ascii="宋体"/>
                <w:b/>
              </w:rPr>
            </w:pPr>
            <w:r>
              <w:rPr>
                <w:rFonts w:ascii="宋体"/>
                <w:b/>
                <w:lang w:val="en-GB"/>
              </w:rPr>
              <w:t>评价方法</w:t>
            </w:r>
          </w:p>
        </w:tc>
      </w:tr>
      <w:tr w14:paraId="0D19B9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6C915472">
            <w:pPr>
              <w:pStyle w:val="18"/>
              <w:widowControl w:val="0"/>
              <w:adjustRightInd w:val="0"/>
              <w:snapToGrid w:val="0"/>
              <w:spacing w:line="360" w:lineRule="auto"/>
              <w:rPr>
                <w:rFonts w:ascii="宋体"/>
                <w:b/>
                <w:lang w:val="en-GB"/>
              </w:rPr>
            </w:pPr>
          </w:p>
        </w:tc>
        <w:tc>
          <w:tcPr>
            <w:tcW w:w="1285" w:type="pct"/>
            <w:vMerge w:val="continue"/>
            <w:vAlign w:val="center"/>
          </w:tcPr>
          <w:p w14:paraId="38AAFD94">
            <w:pPr>
              <w:pStyle w:val="18"/>
              <w:widowControl w:val="0"/>
              <w:adjustRightInd w:val="0"/>
              <w:snapToGrid w:val="0"/>
              <w:spacing w:line="360" w:lineRule="auto"/>
              <w:rPr>
                <w:rFonts w:ascii="宋体"/>
                <w:b/>
              </w:rPr>
            </w:pPr>
          </w:p>
        </w:tc>
        <w:tc>
          <w:tcPr>
            <w:tcW w:w="1196" w:type="pct"/>
            <w:vAlign w:val="center"/>
          </w:tcPr>
          <w:p w14:paraId="52C03DEF">
            <w:pPr>
              <w:pStyle w:val="18"/>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64CE83AE">
            <w:pPr>
              <w:pStyle w:val="18"/>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30EB41EA">
            <w:pPr>
              <w:pStyle w:val="18"/>
              <w:widowControl w:val="0"/>
              <w:adjustRightInd w:val="0"/>
              <w:snapToGrid w:val="0"/>
              <w:spacing w:line="360" w:lineRule="auto"/>
              <w:rPr>
                <w:rFonts w:ascii="宋体"/>
                <w:b/>
                <w:lang w:val="en-GB"/>
              </w:rPr>
            </w:pPr>
            <w:r>
              <w:rPr>
                <w:rFonts w:ascii="宋体"/>
                <w:b/>
                <w:lang w:val="en-GB"/>
              </w:rPr>
              <w:t>事故树法</w:t>
            </w:r>
          </w:p>
        </w:tc>
      </w:tr>
      <w:tr w14:paraId="4CCB5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3165B68D">
            <w:pPr>
              <w:pStyle w:val="18"/>
              <w:widowControl w:val="0"/>
              <w:adjustRightInd w:val="0"/>
              <w:snapToGrid w:val="0"/>
              <w:spacing w:line="360" w:lineRule="auto"/>
              <w:rPr>
                <w:rFonts w:ascii="宋体"/>
                <w:lang w:val="en-GB"/>
              </w:rPr>
            </w:pPr>
            <w:r>
              <w:rPr>
                <w:rFonts w:ascii="宋体"/>
                <w:lang w:val="en-GB"/>
              </w:rPr>
              <w:t>1</w:t>
            </w:r>
          </w:p>
        </w:tc>
        <w:tc>
          <w:tcPr>
            <w:tcW w:w="1285" w:type="pct"/>
            <w:vAlign w:val="center"/>
          </w:tcPr>
          <w:p w14:paraId="113AC381">
            <w:pPr>
              <w:pStyle w:val="18"/>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40E9A547">
            <w:pPr>
              <w:pStyle w:val="18"/>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27117CDC">
            <w:pPr>
              <w:pStyle w:val="18"/>
              <w:widowControl w:val="0"/>
              <w:adjustRightInd w:val="0"/>
              <w:snapToGrid w:val="0"/>
              <w:spacing w:line="360" w:lineRule="auto"/>
              <w:rPr>
                <w:rFonts w:ascii="宋体"/>
              </w:rPr>
            </w:pPr>
          </w:p>
        </w:tc>
        <w:tc>
          <w:tcPr>
            <w:tcW w:w="972" w:type="pct"/>
            <w:vAlign w:val="center"/>
          </w:tcPr>
          <w:p w14:paraId="266133DB">
            <w:pPr>
              <w:pStyle w:val="18"/>
              <w:widowControl w:val="0"/>
              <w:adjustRightInd w:val="0"/>
              <w:snapToGrid w:val="0"/>
              <w:spacing w:line="360" w:lineRule="auto"/>
              <w:rPr>
                <w:rFonts w:ascii="宋体"/>
              </w:rPr>
            </w:pPr>
          </w:p>
        </w:tc>
      </w:tr>
      <w:tr w14:paraId="16BF57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38221309">
            <w:pPr>
              <w:pStyle w:val="18"/>
              <w:widowControl w:val="0"/>
              <w:adjustRightInd w:val="0"/>
              <w:snapToGrid w:val="0"/>
              <w:spacing w:line="360" w:lineRule="auto"/>
              <w:rPr>
                <w:rFonts w:ascii="宋体"/>
                <w:lang w:val="en-GB"/>
              </w:rPr>
            </w:pPr>
            <w:r>
              <w:rPr>
                <w:rFonts w:ascii="宋体"/>
                <w:lang w:val="en-GB"/>
              </w:rPr>
              <w:t>2</w:t>
            </w:r>
          </w:p>
        </w:tc>
        <w:tc>
          <w:tcPr>
            <w:tcW w:w="1285" w:type="pct"/>
            <w:vAlign w:val="center"/>
          </w:tcPr>
          <w:p w14:paraId="7981771F">
            <w:pPr>
              <w:pStyle w:val="18"/>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28087FBF">
            <w:pPr>
              <w:pStyle w:val="18"/>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39ABE61E">
            <w:pPr>
              <w:pStyle w:val="18"/>
              <w:widowControl w:val="0"/>
              <w:adjustRightInd w:val="0"/>
              <w:snapToGrid w:val="0"/>
              <w:spacing w:line="360" w:lineRule="auto"/>
              <w:rPr>
                <w:rFonts w:ascii="宋体"/>
              </w:rPr>
            </w:pPr>
          </w:p>
        </w:tc>
        <w:tc>
          <w:tcPr>
            <w:tcW w:w="972" w:type="pct"/>
            <w:vAlign w:val="center"/>
          </w:tcPr>
          <w:p w14:paraId="26C1BE0D">
            <w:pPr>
              <w:pStyle w:val="18"/>
              <w:widowControl w:val="0"/>
              <w:adjustRightInd w:val="0"/>
              <w:snapToGrid w:val="0"/>
              <w:spacing w:line="360" w:lineRule="auto"/>
              <w:rPr>
                <w:rFonts w:ascii="宋体"/>
              </w:rPr>
            </w:pPr>
          </w:p>
        </w:tc>
      </w:tr>
      <w:tr w14:paraId="49889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3A70FF0">
            <w:pPr>
              <w:pStyle w:val="18"/>
              <w:widowControl w:val="0"/>
              <w:adjustRightInd w:val="0"/>
              <w:snapToGrid w:val="0"/>
              <w:spacing w:line="360" w:lineRule="auto"/>
              <w:rPr>
                <w:rFonts w:ascii="宋体"/>
                <w:lang w:val="en-GB"/>
              </w:rPr>
            </w:pPr>
            <w:r>
              <w:rPr>
                <w:rFonts w:ascii="宋体"/>
                <w:lang w:val="en-GB"/>
              </w:rPr>
              <w:t>3</w:t>
            </w:r>
          </w:p>
        </w:tc>
        <w:tc>
          <w:tcPr>
            <w:tcW w:w="1285" w:type="pct"/>
            <w:vAlign w:val="center"/>
          </w:tcPr>
          <w:p w14:paraId="6E8B3B8B">
            <w:pPr>
              <w:pStyle w:val="18"/>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537F3F4F">
            <w:pPr>
              <w:pStyle w:val="18"/>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5682CD27">
            <w:pPr>
              <w:pStyle w:val="18"/>
              <w:widowControl w:val="0"/>
              <w:adjustRightInd w:val="0"/>
              <w:snapToGrid w:val="0"/>
              <w:spacing w:line="360" w:lineRule="auto"/>
              <w:rPr>
                <w:rFonts w:ascii="宋体"/>
              </w:rPr>
            </w:pPr>
            <w:r>
              <w:rPr>
                <w:rFonts w:hint="eastAsia" w:ascii="宋体" w:hAnsi="宋体" w:cs="宋体"/>
              </w:rPr>
              <w:t>★</w:t>
            </w:r>
          </w:p>
        </w:tc>
        <w:tc>
          <w:tcPr>
            <w:tcW w:w="972" w:type="pct"/>
            <w:vAlign w:val="center"/>
          </w:tcPr>
          <w:p w14:paraId="05995F4D">
            <w:pPr>
              <w:pStyle w:val="18"/>
              <w:widowControl w:val="0"/>
              <w:adjustRightInd w:val="0"/>
              <w:snapToGrid w:val="0"/>
              <w:spacing w:line="360" w:lineRule="auto"/>
              <w:rPr>
                <w:rFonts w:ascii="宋体"/>
              </w:rPr>
            </w:pPr>
            <w:r>
              <w:rPr>
                <w:rFonts w:hint="eastAsia" w:ascii="宋体" w:hAnsi="宋体" w:cs="宋体"/>
              </w:rPr>
              <w:t>★</w:t>
            </w:r>
          </w:p>
        </w:tc>
      </w:tr>
      <w:tr w14:paraId="3CAC9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1F1E85FA">
            <w:pPr>
              <w:pStyle w:val="18"/>
              <w:widowControl w:val="0"/>
              <w:adjustRightInd w:val="0"/>
              <w:snapToGrid w:val="0"/>
              <w:spacing w:line="360" w:lineRule="auto"/>
              <w:rPr>
                <w:rFonts w:ascii="宋体"/>
                <w:lang w:val="en-GB"/>
              </w:rPr>
            </w:pPr>
            <w:r>
              <w:rPr>
                <w:rFonts w:ascii="宋体"/>
                <w:lang w:val="en-GB"/>
              </w:rPr>
              <w:t>4</w:t>
            </w:r>
          </w:p>
        </w:tc>
        <w:tc>
          <w:tcPr>
            <w:tcW w:w="1285" w:type="pct"/>
            <w:vAlign w:val="center"/>
          </w:tcPr>
          <w:p w14:paraId="172A3E58">
            <w:pPr>
              <w:pStyle w:val="18"/>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1293C61B">
            <w:pPr>
              <w:pStyle w:val="18"/>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38D45604">
            <w:pPr>
              <w:pStyle w:val="18"/>
              <w:widowControl w:val="0"/>
              <w:adjustRightInd w:val="0"/>
              <w:snapToGrid w:val="0"/>
              <w:spacing w:line="360" w:lineRule="auto"/>
              <w:rPr>
                <w:rFonts w:ascii="宋体"/>
              </w:rPr>
            </w:pPr>
          </w:p>
        </w:tc>
        <w:tc>
          <w:tcPr>
            <w:tcW w:w="972" w:type="pct"/>
            <w:vAlign w:val="center"/>
          </w:tcPr>
          <w:p w14:paraId="77F06856">
            <w:pPr>
              <w:pStyle w:val="18"/>
              <w:widowControl w:val="0"/>
              <w:adjustRightInd w:val="0"/>
              <w:snapToGrid w:val="0"/>
              <w:spacing w:line="360" w:lineRule="auto"/>
              <w:rPr>
                <w:rFonts w:ascii="宋体"/>
              </w:rPr>
            </w:pPr>
          </w:p>
        </w:tc>
      </w:tr>
    </w:tbl>
    <w:p w14:paraId="5246D7E8">
      <w:pPr>
        <w:pStyle w:val="15"/>
        <w:widowControl w:val="0"/>
        <w:spacing w:line="360" w:lineRule="auto"/>
        <w:ind w:firstLine="420"/>
        <w:rPr>
          <w:rFonts w:ascii="黑体" w:hAnsi="黑体" w:eastAsia="黑体"/>
          <w:highlight w:val="none"/>
        </w:rPr>
      </w:pPr>
      <w:r>
        <w:rPr>
          <w:rFonts w:ascii="黑体" w:hAnsi="黑体" w:eastAsia="黑体"/>
          <w:sz w:val="21"/>
          <w:szCs w:val="21"/>
          <w:u w:color="000000"/>
        </w:rPr>
        <w:t>注：表中“★”表示采用的评价方法</w:t>
      </w:r>
      <w:r>
        <w:rPr>
          <w:rFonts w:ascii="黑体" w:hAnsi="黑体" w:eastAsia="黑体"/>
          <w:sz w:val="21"/>
          <w:szCs w:val="21"/>
          <w:highlight w:val="none"/>
          <w:u w:color="000000"/>
        </w:rPr>
        <w:t>。</w:t>
      </w:r>
    </w:p>
    <w:p w14:paraId="0D44F414">
      <w:pPr>
        <w:pStyle w:val="3"/>
        <w:rPr>
          <w:rFonts w:hint="default"/>
          <w:lang w:val="en-US" w:eastAsia="zh-CN"/>
        </w:rPr>
      </w:pPr>
    </w:p>
    <w:p w14:paraId="3853A0C8">
      <w:pPr>
        <w:pStyle w:val="3"/>
        <w:rPr>
          <w:rFonts w:hint="default"/>
          <w:lang w:val="en-US" w:eastAsia="zh-CN"/>
        </w:rPr>
      </w:pPr>
    </w:p>
    <w:p w14:paraId="2F2E377C">
      <w:pPr>
        <w:pStyle w:val="3"/>
        <w:rPr>
          <w:rFonts w:hint="default"/>
          <w:lang w:val="en-US" w:eastAsia="zh-CN"/>
        </w:rPr>
      </w:pPr>
    </w:p>
    <w:p w14:paraId="55B8E763">
      <w:pPr>
        <w:pStyle w:val="16"/>
        <w:keepLines w:val="0"/>
        <w:widowControl w:val="0"/>
        <w:overflowPunct/>
        <w:bidi w:val="0"/>
        <w:adjustRightInd w:val="0"/>
        <w:snapToGrid w:val="0"/>
        <w:spacing w:before="468" w:beforeLines="150" w:after="156" w:afterLines="50" w:line="360" w:lineRule="auto"/>
      </w:pPr>
      <w:bookmarkStart w:id="44" w:name="_Toc9894"/>
      <w:bookmarkStart w:id="45" w:name="_Toc102633914"/>
      <w:bookmarkStart w:id="46" w:name="_Toc15033761"/>
      <w:bookmarkStart w:id="47" w:name="_Toc102634276"/>
      <w:bookmarkStart w:id="48" w:name="_Toc102633988"/>
      <w:bookmarkStart w:id="49" w:name="_Toc102634414"/>
      <w:r>
        <w:t>第六章  安全对策措施及建议</w:t>
      </w:r>
      <w:bookmarkEnd w:id="44"/>
      <w:bookmarkEnd w:id="45"/>
      <w:bookmarkEnd w:id="46"/>
      <w:bookmarkEnd w:id="47"/>
      <w:bookmarkEnd w:id="48"/>
      <w:bookmarkEnd w:id="49"/>
    </w:p>
    <w:p w14:paraId="190D8ABB">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50" w:name="_Toc225046264"/>
      <w:bookmarkStart w:id="51" w:name="_Toc339456079"/>
      <w:bookmarkStart w:id="52" w:name="_Toc102634277"/>
      <w:bookmarkStart w:id="53" w:name="_Toc102633989"/>
      <w:bookmarkStart w:id="54" w:name="_Toc242065302"/>
      <w:bookmarkStart w:id="55" w:name="_Toc348877039"/>
      <w:bookmarkStart w:id="56" w:name="_Toc4961"/>
      <w:bookmarkStart w:id="57" w:name="_Toc102633915"/>
      <w:bookmarkStart w:id="58" w:name="_Toc15033762"/>
      <w:bookmarkStart w:id="59" w:name="_Toc102634415"/>
      <w:r>
        <w:rPr>
          <w:rFonts w:ascii="Calibri" w:hAnsi="Calibri" w:eastAsia="楷体_GB2312"/>
          <w:b/>
          <w:kern w:val="0"/>
          <w:sz w:val="32"/>
          <w:szCs w:val="20"/>
        </w:rPr>
        <w:t xml:space="preserve">第一节 </w:t>
      </w:r>
      <w:bookmarkEnd w:id="50"/>
      <w:bookmarkEnd w:id="51"/>
      <w:r>
        <w:rPr>
          <w:rFonts w:ascii="Calibri" w:hAnsi="Calibri" w:eastAsia="楷体_GB2312"/>
          <w:b/>
          <w:kern w:val="0"/>
          <w:sz w:val="32"/>
          <w:szCs w:val="20"/>
        </w:rPr>
        <w:t>存在的问题及整改建议</w:t>
      </w:r>
      <w:bookmarkEnd w:id="52"/>
      <w:bookmarkEnd w:id="53"/>
      <w:bookmarkEnd w:id="54"/>
      <w:bookmarkEnd w:id="55"/>
      <w:bookmarkEnd w:id="56"/>
      <w:bookmarkEnd w:id="57"/>
      <w:bookmarkEnd w:id="58"/>
      <w:bookmarkEnd w:id="59"/>
    </w:p>
    <w:p w14:paraId="68232EEB">
      <w:pPr>
        <w:pStyle w:val="3"/>
        <w:rPr>
          <w:rFonts w:hint="eastAsia" w:ascii="宋体"/>
          <w:color w:val="auto"/>
          <w:kern w:val="0"/>
          <w:sz w:val="28"/>
          <w:szCs w:val="20"/>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bookmarkStart w:id="60" w:name="_Toc15033763"/>
      <w:bookmarkStart w:id="61" w:name="_Toc49590281"/>
      <w:r>
        <w:rPr>
          <w:rFonts w:ascii="宋体"/>
          <w:kern w:val="0"/>
          <w:sz w:val="28"/>
          <w:szCs w:val="20"/>
        </w:rPr>
        <w:t>通过现场检查和审查有关资料</w:t>
      </w:r>
      <w:r>
        <w:rPr>
          <w:rFonts w:hint="eastAsia" w:ascii="宋体"/>
          <w:kern w:val="0"/>
          <w:sz w:val="28"/>
          <w:szCs w:val="20"/>
        </w:rPr>
        <w:t>可以看出，该加油站</w:t>
      </w:r>
      <w:bookmarkEnd w:id="60"/>
      <w:bookmarkEnd w:id="61"/>
      <w:r>
        <w:rPr>
          <w:rFonts w:hint="eastAsia" w:ascii="宋体"/>
          <w:kern w:val="0"/>
          <w:sz w:val="28"/>
          <w:szCs w:val="20"/>
        </w:rPr>
        <w:t>在安全管理、站址选择及总平面布置、加油工艺及设施、其它设施等方面符合有关法律、标准规范的要求</w:t>
      </w:r>
      <w:r>
        <w:rPr>
          <w:rFonts w:hint="eastAsia" w:ascii="宋体"/>
          <w:color w:val="auto"/>
          <w:kern w:val="0"/>
          <w:sz w:val="28"/>
          <w:szCs w:val="20"/>
        </w:rPr>
        <w:t>。</w:t>
      </w:r>
    </w:p>
    <w:p w14:paraId="7FAC2E7F">
      <w:pPr>
        <w:pStyle w:val="3"/>
        <w:spacing w:line="240" w:lineRule="auto"/>
        <w:ind w:left="0" w:leftChars="0" w:firstLine="0" w:firstLineChars="0"/>
        <w:rPr>
          <w:rFonts w:hint="default" w:ascii="宋体"/>
          <w:color w:val="auto"/>
          <w:kern w:val="0"/>
          <w:sz w:val="28"/>
          <w:szCs w:val="20"/>
          <w:lang w:val="en-US" w:eastAsia="zh-CN"/>
        </w:rPr>
      </w:pPr>
      <w:bookmarkStart w:id="62" w:name="_GoBack"/>
      <w:r>
        <w:rPr>
          <w:rFonts w:hint="default" w:ascii="宋体"/>
          <w:color w:val="auto"/>
          <w:kern w:val="0"/>
          <w:sz w:val="28"/>
          <w:szCs w:val="20"/>
          <w:lang w:val="en-US" w:eastAsia="zh-CN"/>
        </w:rPr>
        <w:drawing>
          <wp:inline distT="0" distB="0" distL="114300" distR="114300">
            <wp:extent cx="5611495" cy="8452485"/>
            <wp:effectExtent l="0" t="0" r="8255" b="5715"/>
            <wp:docPr id="8" name="图片 8" descr="扫描全能王 2025-04-28 14.2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5-04-28 14.29_4"/>
                    <pic:cNvPicPr>
                      <a:picLocks noChangeAspect="1"/>
                    </pic:cNvPicPr>
                  </pic:nvPicPr>
                  <pic:blipFill>
                    <a:blip r:embed="rId9"/>
                    <a:stretch>
                      <a:fillRect/>
                    </a:stretch>
                  </pic:blipFill>
                  <pic:spPr>
                    <a:xfrm>
                      <a:off x="0" y="0"/>
                      <a:ext cx="5611495" cy="8452485"/>
                    </a:xfrm>
                    <a:prstGeom prst="rect">
                      <a:avLst/>
                    </a:prstGeom>
                  </pic:spPr>
                </pic:pic>
              </a:graphicData>
            </a:graphic>
          </wp:inline>
        </w:drawing>
      </w:r>
      <w:bookmarkEnd w:id="62"/>
      <w:r>
        <w:rPr>
          <w:rFonts w:hint="default" w:ascii="宋体"/>
          <w:color w:val="auto"/>
          <w:kern w:val="0"/>
          <w:sz w:val="28"/>
          <w:szCs w:val="20"/>
          <w:lang w:val="en-US" w:eastAsia="zh-CN"/>
        </w:rPr>
        <w:drawing>
          <wp:inline distT="0" distB="0" distL="114300" distR="114300">
            <wp:extent cx="5749290" cy="8737600"/>
            <wp:effectExtent l="0" t="0" r="3810" b="6350"/>
            <wp:docPr id="7" name="图片 7" descr="扫描全能王 2025-04-28 14.2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5-04-28 14.29_5"/>
                    <pic:cNvPicPr>
                      <a:picLocks noChangeAspect="1"/>
                    </pic:cNvPicPr>
                  </pic:nvPicPr>
                  <pic:blipFill>
                    <a:blip r:embed="rId10"/>
                    <a:stretch>
                      <a:fillRect/>
                    </a:stretch>
                  </pic:blipFill>
                  <pic:spPr>
                    <a:xfrm>
                      <a:off x="0" y="0"/>
                      <a:ext cx="5749290" cy="873760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5700395" cy="8877300"/>
            <wp:effectExtent l="0" t="0" r="14605" b="0"/>
            <wp:docPr id="6" name="图片 6" descr="扫描全能王 2025-04-28 14.2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04-28 14.29_6"/>
                    <pic:cNvPicPr>
                      <a:picLocks noChangeAspect="1"/>
                    </pic:cNvPicPr>
                  </pic:nvPicPr>
                  <pic:blipFill>
                    <a:blip r:embed="rId11"/>
                    <a:stretch>
                      <a:fillRect/>
                    </a:stretch>
                  </pic:blipFill>
                  <pic:spPr>
                    <a:xfrm>
                      <a:off x="0" y="0"/>
                      <a:ext cx="5700395" cy="8877300"/>
                    </a:xfrm>
                    <a:prstGeom prst="rect">
                      <a:avLst/>
                    </a:prstGeom>
                  </pic:spPr>
                </pic:pic>
              </a:graphicData>
            </a:graphic>
          </wp:inline>
        </w:drawing>
      </w: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3B21DD7"/>
    <w:rsid w:val="03CC63D7"/>
    <w:rsid w:val="09D5345C"/>
    <w:rsid w:val="0A27015B"/>
    <w:rsid w:val="0BD51C61"/>
    <w:rsid w:val="0EC853E9"/>
    <w:rsid w:val="0EDC1223"/>
    <w:rsid w:val="0F4E76C6"/>
    <w:rsid w:val="13C277AD"/>
    <w:rsid w:val="13D12EE6"/>
    <w:rsid w:val="14232CD4"/>
    <w:rsid w:val="153C4810"/>
    <w:rsid w:val="16BC1C2B"/>
    <w:rsid w:val="1E1E483E"/>
    <w:rsid w:val="22CB7136"/>
    <w:rsid w:val="284F788D"/>
    <w:rsid w:val="28E348A1"/>
    <w:rsid w:val="29EC3A01"/>
    <w:rsid w:val="2A9D36CA"/>
    <w:rsid w:val="2EB02BD7"/>
    <w:rsid w:val="2EC41433"/>
    <w:rsid w:val="335F1F61"/>
    <w:rsid w:val="355F439E"/>
    <w:rsid w:val="35CC29B8"/>
    <w:rsid w:val="3AF630AE"/>
    <w:rsid w:val="3B343FFC"/>
    <w:rsid w:val="3BB85D78"/>
    <w:rsid w:val="3F2D6C63"/>
    <w:rsid w:val="4098711A"/>
    <w:rsid w:val="420C1409"/>
    <w:rsid w:val="46BE3C6F"/>
    <w:rsid w:val="4706325F"/>
    <w:rsid w:val="48FE4AE5"/>
    <w:rsid w:val="4B7D0EF4"/>
    <w:rsid w:val="537F016A"/>
    <w:rsid w:val="539756E3"/>
    <w:rsid w:val="54F4335B"/>
    <w:rsid w:val="563D798B"/>
    <w:rsid w:val="567C6788"/>
    <w:rsid w:val="579A241E"/>
    <w:rsid w:val="59D26E89"/>
    <w:rsid w:val="5A893A0E"/>
    <w:rsid w:val="5AB85F0C"/>
    <w:rsid w:val="5E953707"/>
    <w:rsid w:val="5FE74EE2"/>
    <w:rsid w:val="63B9039E"/>
    <w:rsid w:val="68572B2F"/>
    <w:rsid w:val="68772688"/>
    <w:rsid w:val="68F91E38"/>
    <w:rsid w:val="6AD40467"/>
    <w:rsid w:val="6BF95CAB"/>
    <w:rsid w:val="6D0669CA"/>
    <w:rsid w:val="717A11AE"/>
    <w:rsid w:val="72FD2CFB"/>
    <w:rsid w:val="73C95CFD"/>
    <w:rsid w:val="74004819"/>
    <w:rsid w:val="74B1656C"/>
    <w:rsid w:val="74F77EEF"/>
    <w:rsid w:val="7772596D"/>
    <w:rsid w:val="7AB02F22"/>
    <w:rsid w:val="7B2E5971"/>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b/>
      <w:sz w:val="24"/>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4">
    <w:name w:val="Normal Indent"/>
    <w:basedOn w:val="1"/>
    <w:qFormat/>
    <w:uiPriority w:val="99"/>
    <w:pPr>
      <w:ind w:firstLine="420"/>
    </w:p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99"/>
    <w:rPr>
      <w:rFonts w:ascii="宋体" w:hAnsi="Courier New"/>
      <w:kern w:val="0"/>
      <w:sz w:val="20"/>
      <w:szCs w:val="20"/>
    </w:rPr>
  </w:style>
  <w:style w:type="paragraph" w:styleId="7">
    <w:name w:val="Title"/>
    <w:basedOn w:val="1"/>
    <w:next w:val="1"/>
    <w:qFormat/>
    <w:uiPriority w:val="0"/>
    <w:pPr>
      <w:spacing w:before="240" w:after="60"/>
      <w:jc w:val="center"/>
      <w:outlineLvl w:val="0"/>
    </w:pPr>
    <w:rPr>
      <w:rFonts w:ascii="Arial" w:hAnsi="Arial"/>
      <w:b/>
      <w:sz w:val="32"/>
    </w:rPr>
  </w:style>
  <w:style w:type="paragraph" w:styleId="8">
    <w:name w:val="Body Text First Indent 2"/>
    <w:basedOn w:val="5"/>
    <w:next w:val="1"/>
    <w:qFormat/>
    <w:uiPriority w:val="0"/>
    <w:pPr>
      <w:tabs>
        <w:tab w:val="left" w:pos="6120"/>
      </w:tabs>
      <w:spacing w:line="520" w:lineRule="exact"/>
      <w:ind w:left="0" w:leftChars="0"/>
    </w:pPr>
    <w:rPr>
      <w:rFonts w:ascii="黑体" w:hAnsi="黑体" w:eastAsia="黑体" w:cs="宋体"/>
      <w:sz w:val="28"/>
      <w:szCs w:val="24"/>
    </w:rPr>
  </w:style>
  <w:style w:type="paragraph" w:customStyle="1" w:styleId="11">
    <w:name w:val="111"/>
    <w:basedOn w:val="12"/>
    <w:qFormat/>
    <w:uiPriority w:val="0"/>
    <w:pPr>
      <w:widowControl/>
      <w:spacing w:beforeAutospacing="0" w:afterAutospacing="0"/>
      <w:jc w:val="left"/>
    </w:pPr>
    <w:rPr>
      <w:rFonts w:ascii="宋体" w:hAnsi="宋体" w:eastAsia="宋体" w:cs="宋体"/>
      <w:kern w:val="0"/>
      <w:sz w:val="24"/>
      <w:szCs w:val="24"/>
    </w:rPr>
  </w:style>
  <w:style w:type="paragraph" w:customStyle="1" w:styleId="12">
    <w:name w:val="题目"/>
    <w:basedOn w:val="1"/>
    <w:qFormat/>
    <w:uiPriority w:val="0"/>
    <w:pPr>
      <w:jc w:val="center"/>
      <w:outlineLvl w:val="0"/>
    </w:pPr>
    <w:rPr>
      <w:rFonts w:ascii="黑体" w:hAnsi="黑体" w:eastAsia="黑体"/>
      <w:sz w:val="32"/>
      <w:szCs w:val="32"/>
    </w:rPr>
  </w:style>
  <w:style w:type="paragraph" w:customStyle="1" w:styleId="13">
    <w:name w:val="Table Text"/>
    <w:basedOn w:val="1"/>
    <w:semiHidden/>
    <w:qFormat/>
    <w:uiPriority w:val="0"/>
    <w:rPr>
      <w:rFonts w:ascii="宋体" w:hAnsi="宋体" w:eastAsia="宋体" w:cs="宋体"/>
      <w:sz w:val="20"/>
      <w:szCs w:val="20"/>
      <w:lang w:val="en-US" w:eastAsia="en-US" w:bidi="ar-SA"/>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6">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7">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8">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9">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0">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1">
    <w:name w:val="表内文字"/>
    <w:basedOn w:val="6"/>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3007</Words>
  <Characters>3307</Characters>
  <Lines>0</Lines>
  <Paragraphs>0</Paragraphs>
  <TotalTime>2</TotalTime>
  <ScaleCrop>false</ScaleCrop>
  <LinksUpToDate>false</LinksUpToDate>
  <CharactersWithSpaces>3340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2025-04-28T06:35:21Z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