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D2B7">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5691D87">
      <w:pPr>
        <w:rPr>
          <w:rFonts w:hint="eastAsia"/>
          <w:sz w:val="21"/>
          <w:szCs w:val="21"/>
          <w:lang w:val="en-US" w:eastAsia="zh-CN"/>
        </w:rPr>
      </w:pPr>
      <w:r>
        <w:rPr>
          <w:rFonts w:hint="eastAsia"/>
          <w:sz w:val="21"/>
          <w:szCs w:val="21"/>
          <w:lang w:val="en-US" w:eastAsia="zh-CN"/>
        </w:rPr>
        <w:t>项目编号：</w:t>
      </w:r>
    </w:p>
    <w:tbl>
      <w:tblPr>
        <w:tblStyle w:val="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D5DE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59DC09E">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54963DB">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中国石化山东泰山石油股份有限公司泰安第六十六加油站双罐双线更换项目</w:t>
            </w:r>
          </w:p>
        </w:tc>
      </w:tr>
      <w:tr w14:paraId="12E0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07952AD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37EABA27">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泰安第六十六加油站位于山东省泰安市徂汶景区天宝镇244省道与0九国道交汇处东北角，该建设单位成立于2001年10月24日，法定代表人为王明昌，加油站北侧为244省道，西南侧是008县道，西侧是244省道，东南侧为民房，交通便利。其主要经营汽油、柴油（0#与-10#换季销售）。</w:t>
            </w:r>
          </w:p>
          <w:p w14:paraId="2F4FB332">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该项目依托原有职工3人，其中主要负责人1人，安全生产管理员1人。主要负责人和安全生产管理人员已参加了危险化学品安全管理培训，并取得考核合格证。</w:t>
            </w:r>
          </w:p>
          <w:p w14:paraId="660C3F0F">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加油站于2021年10月12日换发了《成品油零售经营批准证书》，证书编号：鲁油零售证书第3709021008号，证书有效期至2026年10月12日，证书见附件。</w:t>
            </w:r>
          </w:p>
          <w:p w14:paraId="739ABB47">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加油站于2022年06月14日换发了《危险化学品经营许可证》，证书编号：鲁泰危化经[2022]000305号，证书有效期至2025年06月20日，证书见附件。</w:t>
            </w:r>
          </w:p>
          <w:p w14:paraId="50800C8E">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该站原有卧式单层钢制油罐20m³3台（92#汽油、95#汽油、柴油各1台），原有加油机4台(单枪)，现因经营需要，该站拆除原承重罐区一座，在站区西南角新建承重框架罐区一座，设3具30m³双层储罐（92#汽油、95#汽油、柴油各1台），更换为3台单枪单油品自吸泵加油机，重新敷设工艺管道，出油管道采用导静电双层热塑性塑料管道。</w:t>
            </w:r>
          </w:p>
          <w:p w14:paraId="1F99A623">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加油区：新建加油岛及防撞柱、更换为3台单枪自吸式加油机。</w:t>
            </w:r>
          </w:p>
          <w:p w14:paraId="13D33E34">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储罐区：新建承重罐区，面积79.75m</w:t>
            </w:r>
            <w:r>
              <w:rPr>
                <w:rFonts w:hint="eastAsia" w:ascii="宋体" w:hAnsi="宋体"/>
                <w:sz w:val="20"/>
                <w:szCs w:val="24"/>
                <w:vertAlign w:val="superscript"/>
                <w:lang w:val="en-US" w:eastAsia="zh-CN"/>
              </w:rPr>
              <w:t>2</w:t>
            </w:r>
            <w:r>
              <w:rPr>
                <w:rFonts w:hint="eastAsia" w:ascii="宋体" w:hAnsi="宋体"/>
                <w:sz w:val="20"/>
                <w:szCs w:val="24"/>
                <w:lang w:val="en-US" w:eastAsia="zh-CN"/>
              </w:rPr>
              <w:t>，设置3具30m³的S/F双层储罐（2汽1柴）；新建卸油口、通气管；新建双层罐及双层管线防渗漏监测系统，总罐容为90m³，柴油折半计入总容积为75m³。根据《汽车加油加气加氢站技术标准》（GB50156-2021）表3.0.9条规定：本站为三级加油站。</w:t>
            </w:r>
          </w:p>
        </w:tc>
      </w:tr>
      <w:tr w14:paraId="42733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BDB7AE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0BBFC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310C8F4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50709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15B932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14BC2FB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35AB26C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85C7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31F732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315A266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5C82EC0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3F1C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C16FFC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1F0F507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0DD3D6A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FAC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71AED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82A79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74188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6D03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89A77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FC3FB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416A8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1BB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10534D3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38A343C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1E9161F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7FF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FA5BD1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8740AB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388F31C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765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1975778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549A270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3237ED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2E4B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116C03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6EAAA4D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3E9E7D7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1E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1F3EB93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49A70C6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891EDE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76F203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E9F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4FE06B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7E2FBE4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3A893F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024EBAF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450BEB1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7D19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01C3D2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4036D8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2024.6.24</w:t>
            </w:r>
          </w:p>
        </w:tc>
        <w:tc>
          <w:tcPr>
            <w:tcW w:w="2350" w:type="dxa"/>
            <w:tcBorders>
              <w:tl2br w:val="nil"/>
              <w:tr2bl w:val="nil"/>
            </w:tcBorders>
            <w:shd w:val="clear" w:color="auto" w:fill="auto"/>
            <w:noWrap/>
            <w:vAlign w:val="center"/>
          </w:tcPr>
          <w:p w14:paraId="5005E26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马琳琳 辛  磊</w:t>
            </w:r>
          </w:p>
        </w:tc>
        <w:tc>
          <w:tcPr>
            <w:tcW w:w="2918" w:type="dxa"/>
            <w:tcBorders>
              <w:tl2br w:val="nil"/>
              <w:tr2bl w:val="nil"/>
            </w:tcBorders>
            <w:shd w:val="clear" w:color="auto" w:fill="auto"/>
            <w:noWrap/>
            <w:vAlign w:val="center"/>
          </w:tcPr>
          <w:p w14:paraId="4F3992F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56154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A1E9C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5C4454B">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2024.7.1</w:t>
            </w:r>
          </w:p>
        </w:tc>
        <w:tc>
          <w:tcPr>
            <w:tcW w:w="2350" w:type="dxa"/>
            <w:tcBorders>
              <w:tl2br w:val="nil"/>
              <w:tr2bl w:val="nil"/>
            </w:tcBorders>
            <w:shd w:val="clear" w:color="auto" w:fill="auto"/>
            <w:noWrap/>
            <w:vAlign w:val="center"/>
          </w:tcPr>
          <w:p w14:paraId="5AB0AE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 辛  磊</w:t>
            </w:r>
          </w:p>
        </w:tc>
        <w:tc>
          <w:tcPr>
            <w:tcW w:w="2918" w:type="dxa"/>
            <w:tcBorders>
              <w:tl2br w:val="nil"/>
              <w:tr2bl w:val="nil"/>
            </w:tcBorders>
            <w:shd w:val="clear" w:color="auto" w:fill="auto"/>
            <w:noWrap/>
            <w:vAlign w:val="center"/>
          </w:tcPr>
          <w:p w14:paraId="5F4FC0A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56243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0E6FF1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0D7F8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2024.7.5</w:t>
            </w:r>
          </w:p>
        </w:tc>
        <w:tc>
          <w:tcPr>
            <w:tcW w:w="2350" w:type="dxa"/>
            <w:tcBorders>
              <w:tl2br w:val="nil"/>
              <w:tr2bl w:val="nil"/>
            </w:tcBorders>
            <w:shd w:val="clear" w:color="auto" w:fill="auto"/>
            <w:noWrap/>
            <w:vAlign w:val="center"/>
          </w:tcPr>
          <w:p w14:paraId="599ACD0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 辛  磊</w:t>
            </w:r>
          </w:p>
        </w:tc>
        <w:tc>
          <w:tcPr>
            <w:tcW w:w="2918" w:type="dxa"/>
            <w:tcBorders>
              <w:tl2br w:val="nil"/>
              <w:tr2bl w:val="nil"/>
            </w:tcBorders>
            <w:shd w:val="clear" w:color="auto" w:fill="auto"/>
            <w:noWrap/>
            <w:vAlign w:val="center"/>
          </w:tcPr>
          <w:p w14:paraId="2A905AF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3BD7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1BD418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E8D04B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2024.7.6</w:t>
            </w:r>
          </w:p>
        </w:tc>
        <w:tc>
          <w:tcPr>
            <w:tcW w:w="2350" w:type="dxa"/>
            <w:tcBorders>
              <w:tl2br w:val="nil"/>
              <w:tr2bl w:val="nil"/>
            </w:tcBorders>
            <w:shd w:val="clear" w:color="auto" w:fill="auto"/>
            <w:noWrap/>
            <w:vAlign w:val="center"/>
          </w:tcPr>
          <w:p w14:paraId="069F849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 辛  磊</w:t>
            </w:r>
          </w:p>
        </w:tc>
        <w:tc>
          <w:tcPr>
            <w:tcW w:w="2918" w:type="dxa"/>
            <w:tcBorders>
              <w:tl2br w:val="nil"/>
              <w:tr2bl w:val="nil"/>
            </w:tcBorders>
            <w:shd w:val="clear" w:color="auto" w:fill="auto"/>
            <w:noWrap/>
            <w:vAlign w:val="center"/>
          </w:tcPr>
          <w:p w14:paraId="2AB13DD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49008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FE17B20">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安全评价报告提交时间：2024.7.18</w:t>
            </w:r>
          </w:p>
        </w:tc>
      </w:tr>
      <w:tr w14:paraId="5C677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4422EEE9">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4B35B94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93223F5">
      <w:pP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br w:type="page"/>
      </w:r>
    </w:p>
    <w:p w14:paraId="7701A4D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中国石化山东泰山石油股份有限公司泰安第六十六加油站双罐双线更换项目安全验收评价现场照片</w:t>
      </w:r>
    </w:p>
    <w:p w14:paraId="33C7BE0A">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565140" cy="4173855"/>
            <wp:effectExtent l="0" t="0" r="16510" b="17145"/>
            <wp:docPr id="6" name="图片 6" descr="IMG_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232"/>
                    <pic:cNvPicPr>
                      <a:picLocks noChangeAspect="1"/>
                    </pic:cNvPicPr>
                  </pic:nvPicPr>
                  <pic:blipFill>
                    <a:blip r:embed="rId4"/>
                    <a:stretch>
                      <a:fillRect/>
                    </a:stretch>
                  </pic:blipFill>
                  <pic:spPr>
                    <a:xfrm>
                      <a:off x="0" y="0"/>
                      <a:ext cx="5565140" cy="4173855"/>
                    </a:xfrm>
                    <a:prstGeom prst="rect">
                      <a:avLst/>
                    </a:prstGeom>
                  </pic:spPr>
                </pic:pic>
              </a:graphicData>
            </a:graphic>
          </wp:inline>
        </w:drawing>
      </w:r>
      <w:r>
        <w:rPr>
          <w:rFonts w:hint="default"/>
          <w:lang w:val="en-US" w:eastAsia="zh-CN"/>
        </w:rPr>
        <w:drawing>
          <wp:inline distT="0" distB="0" distL="114300" distR="114300">
            <wp:extent cx="5565140" cy="4173855"/>
            <wp:effectExtent l="0" t="0" r="16510" b="17145"/>
            <wp:docPr id="5" name="图片 5" descr="IMG_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236"/>
                    <pic:cNvPicPr>
                      <a:picLocks noChangeAspect="1"/>
                    </pic:cNvPicPr>
                  </pic:nvPicPr>
                  <pic:blipFill>
                    <a:blip r:embed="rId5"/>
                    <a:stretch>
                      <a:fillRect/>
                    </a:stretch>
                  </pic:blipFill>
                  <pic:spPr>
                    <a:xfrm>
                      <a:off x="0" y="0"/>
                      <a:ext cx="5565140" cy="4173855"/>
                    </a:xfrm>
                    <a:prstGeom prst="rect">
                      <a:avLst/>
                    </a:prstGeom>
                  </pic:spPr>
                </pic:pic>
              </a:graphicData>
            </a:graphic>
          </wp:inline>
        </w:drawing>
      </w:r>
    </w:p>
    <w:p w14:paraId="326FAA66">
      <w:pPr>
        <w:kinsoku/>
        <w:overflowPunct/>
        <w:bidi w:val="0"/>
        <w:adjustRightInd w:val="0"/>
        <w:snapToGrid w:val="0"/>
        <w:spacing w:before="360" w:beforeLines="150" w:after="120" w:afterLines="50" w:line="360" w:lineRule="auto"/>
        <w:jc w:val="center"/>
        <w:outlineLvl w:val="0"/>
        <w:rPr>
          <w:rFonts w:hint="eastAsia" w:ascii="黑体" w:eastAsia="黑体"/>
          <w:sz w:val="32"/>
          <w:szCs w:val="32"/>
        </w:rPr>
      </w:pPr>
      <w:bookmarkStart w:id="0" w:name="_Toc18726"/>
      <w:r>
        <w:rPr>
          <w:rFonts w:hint="eastAsia" w:ascii="黑体" w:eastAsia="黑体"/>
          <w:b/>
          <w:bCs/>
          <w:kern w:val="44"/>
          <w:sz w:val="32"/>
          <w:szCs w:val="32"/>
        </w:rPr>
        <w:t>2 建设项目概况</w:t>
      </w:r>
      <w:bookmarkEnd w:id="0"/>
    </w:p>
    <w:p w14:paraId="6D3AE165">
      <w:pPr>
        <w:pStyle w:val="2"/>
        <w:kinsoku/>
        <w:overflowPunct/>
        <w:bidi w:val="0"/>
        <w:adjustRightInd w:val="0"/>
        <w:snapToGrid w:val="0"/>
        <w:spacing w:before="0" w:after="0" w:line="360" w:lineRule="auto"/>
        <w:jc w:val="center"/>
        <w:rPr>
          <w:rFonts w:hint="eastAsia" w:ascii="楷体_GB2312" w:eastAsia="楷体_GB2312"/>
        </w:rPr>
      </w:pPr>
      <w:bookmarkStart w:id="1" w:name="_Toc13497"/>
      <w:r>
        <w:rPr>
          <w:rFonts w:hint="eastAsia" w:ascii="楷体_GB2312" w:eastAsia="楷体_GB2312"/>
        </w:rPr>
        <w:t>2.1 建设单位简介</w:t>
      </w:r>
      <w:bookmarkEnd w:id="1"/>
    </w:p>
    <w:p w14:paraId="316043CB">
      <w:pPr>
        <w:topLinePunct/>
        <w:adjustRightInd w:val="0"/>
        <w:snapToGrid w:val="0"/>
        <w:spacing w:line="360" w:lineRule="auto"/>
        <w:ind w:firstLine="560" w:firstLineChars="200"/>
        <w:rPr>
          <w:rFonts w:ascii="宋体" w:hAnsi="宋体"/>
          <w:snapToGrid w:val="0"/>
          <w:spacing w:val="0"/>
          <w:kern w:val="0"/>
          <w:sz w:val="28"/>
        </w:rPr>
      </w:pPr>
      <w:r>
        <w:rPr>
          <w:rFonts w:hint="eastAsia" w:ascii="宋体" w:hAnsi="宋体"/>
          <w:snapToGrid w:val="0"/>
          <w:spacing w:val="0"/>
          <w:kern w:val="0"/>
          <w:sz w:val="28"/>
        </w:rPr>
        <w:t>中国石化山东泰山石油股份有限公司泰安第六十六加油站位于</w:t>
      </w:r>
      <w:r>
        <w:rPr>
          <w:rFonts w:hint="eastAsia" w:ascii="宋体" w:hAnsi="宋体"/>
          <w:sz w:val="28"/>
          <w:szCs w:val="28"/>
        </w:rPr>
        <w:t>山东省泰安市徂汶景区天宝镇244省道与0九国道交汇处东北角</w:t>
      </w:r>
      <w:r>
        <w:rPr>
          <w:rFonts w:hint="eastAsia" w:ascii="宋体" w:hAnsi="宋体"/>
          <w:snapToGrid w:val="0"/>
          <w:spacing w:val="0"/>
          <w:kern w:val="0"/>
          <w:sz w:val="28"/>
        </w:rPr>
        <w:t>，该建设单位成立于2001年10月24日，法定代表人为王明昌，</w:t>
      </w:r>
      <w:r>
        <w:rPr>
          <w:rFonts w:hint="eastAsia" w:ascii="宋体" w:hAnsi="宋体"/>
          <w:sz w:val="28"/>
          <w:szCs w:val="28"/>
        </w:rPr>
        <w:t>加油站北侧为244省道，西南侧是008县道，西侧是244省道，东南侧为民房</w:t>
      </w:r>
      <w:r>
        <w:rPr>
          <w:rFonts w:hint="eastAsia" w:ascii="宋体" w:hAnsi="宋体" w:cs="宋体"/>
          <w:sz w:val="28"/>
          <w:szCs w:val="28"/>
        </w:rPr>
        <w:t>，交通便利</w:t>
      </w:r>
      <w:r>
        <w:rPr>
          <w:rFonts w:hint="eastAsia" w:ascii="宋体" w:hAnsi="宋体"/>
          <w:sz w:val="28"/>
          <w:szCs w:val="28"/>
        </w:rPr>
        <w:t>。其主要经营汽油、柴油（0</w:t>
      </w:r>
      <w:r>
        <w:rPr>
          <w:rFonts w:hint="eastAsia" w:ascii="宋体" w:hAnsi="宋体"/>
          <w:sz w:val="28"/>
          <w:szCs w:val="28"/>
          <w:vertAlign w:val="superscript"/>
        </w:rPr>
        <w:t>#</w:t>
      </w:r>
      <w:r>
        <w:rPr>
          <w:rFonts w:hint="eastAsia" w:ascii="宋体" w:hAnsi="宋体"/>
          <w:sz w:val="28"/>
          <w:szCs w:val="28"/>
        </w:rPr>
        <w:t>与-10</w:t>
      </w:r>
      <w:r>
        <w:rPr>
          <w:rFonts w:hint="eastAsia" w:ascii="宋体" w:hAnsi="宋体"/>
          <w:sz w:val="28"/>
          <w:szCs w:val="28"/>
          <w:vertAlign w:val="superscript"/>
        </w:rPr>
        <w:t>#</w:t>
      </w:r>
      <w:r>
        <w:rPr>
          <w:rFonts w:hint="eastAsia" w:ascii="宋体" w:hAnsi="宋体"/>
          <w:sz w:val="28"/>
          <w:szCs w:val="28"/>
        </w:rPr>
        <w:t>换季销售）。</w:t>
      </w:r>
    </w:p>
    <w:p w14:paraId="5EC8B88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该项目依托原有职工3人，其中主要负责人1人，安全生产管理员1人。主要负责人和安全生产管理人员已参加了危险化学品安全管理培训，并取得考核合格证。</w:t>
      </w:r>
    </w:p>
    <w:p w14:paraId="59ADD18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加油站于2021年10月12日换发了《成品油零售经营批准证书》，证书编号：鲁油零售证书第3709021008号，证书有效期至2026年10月12日，证书见附件。</w:t>
      </w:r>
    </w:p>
    <w:p w14:paraId="023A26B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加油站于2022年06月14日换发了《危险化学品经营许可证》，证书编号：鲁泰危化经[2022]000305号，证书有效期至2025年06月20日，证书见附件。</w:t>
      </w:r>
    </w:p>
    <w:p w14:paraId="56F38EE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该站原有卧式单层钢制油罐20m³3台（92#汽油、95#汽油、柴油各1台），原有加油机4台(单枪)，现因经营需要，该站拆除原承重罐区一座，在站区西南角新建承重框架罐区一座，设3具30m³双层储罐（92#汽油、95#汽油、柴油各1台），更换</w:t>
      </w:r>
      <w:r>
        <w:rPr>
          <w:rFonts w:hint="eastAsia" w:ascii="宋体" w:hAnsi="宋体"/>
          <w:sz w:val="28"/>
          <w:szCs w:val="28"/>
          <w:lang w:val="en-US" w:eastAsia="zh-CN"/>
        </w:rPr>
        <w:t>为</w:t>
      </w:r>
      <w:r>
        <w:rPr>
          <w:rFonts w:hint="eastAsia" w:ascii="宋体" w:hAnsi="宋体"/>
          <w:sz w:val="28"/>
          <w:szCs w:val="28"/>
        </w:rPr>
        <w:t>3台单枪单油品自吸泵加油机，重新敷设工艺管道，出油管道采用导静电双层热塑性塑料管道。</w:t>
      </w:r>
    </w:p>
    <w:p w14:paraId="1074391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加油区：新建加油岛及防撞柱、</w:t>
      </w:r>
      <w:r>
        <w:rPr>
          <w:rFonts w:hint="eastAsia" w:ascii="宋体" w:hAnsi="宋体"/>
          <w:sz w:val="28"/>
          <w:szCs w:val="28"/>
          <w:lang w:val="en-US" w:eastAsia="zh-CN"/>
        </w:rPr>
        <w:t>更换为</w:t>
      </w:r>
      <w:r>
        <w:rPr>
          <w:rFonts w:hint="eastAsia" w:ascii="宋体" w:hAnsi="宋体"/>
          <w:sz w:val="28"/>
          <w:szCs w:val="28"/>
        </w:rPr>
        <w:t>3台单枪自吸式加油机。</w:t>
      </w:r>
    </w:p>
    <w:p w14:paraId="3602D4B0">
      <w:pPr>
        <w:pStyle w:val="13"/>
        <w:widowControl w:val="0"/>
        <w:adjustRightInd w:val="0"/>
        <w:snapToGrid w:val="0"/>
        <w:spacing w:line="360" w:lineRule="auto"/>
        <w:ind w:firstLine="560"/>
        <w:rPr>
          <w:rFonts w:ascii="宋体"/>
          <w:color w:val="auto"/>
        </w:rPr>
      </w:pPr>
      <w:r>
        <w:rPr>
          <w:rFonts w:hint="eastAsia" w:ascii="宋体" w:hAnsi="宋体"/>
          <w:spacing w:val="0"/>
          <w:sz w:val="28"/>
          <w:szCs w:val="28"/>
        </w:rPr>
        <w:t>储罐区：新建承重罐区，面积79.75m</w:t>
      </w:r>
      <w:r>
        <w:rPr>
          <w:rFonts w:hint="eastAsia" w:ascii="宋体" w:hAnsi="宋体"/>
          <w:spacing w:val="0"/>
          <w:sz w:val="28"/>
          <w:szCs w:val="28"/>
          <w:vertAlign w:val="superscript"/>
        </w:rPr>
        <w:t>2</w:t>
      </w:r>
      <w:r>
        <w:rPr>
          <w:rFonts w:hint="eastAsia" w:ascii="宋体" w:hAnsi="宋体"/>
          <w:spacing w:val="0"/>
          <w:sz w:val="28"/>
          <w:szCs w:val="28"/>
        </w:rPr>
        <w:t>，设置3具30m³的S/F双层储罐（2汽1柴）；新建卸油口、通气管；新建双层罐及双层管线防渗漏监测系统，总罐容为90m³，柴油折半计入总容积为75m³。根据《汽车加油加气加氢站技术标准》（GB50156-2021）表3.0.9条规定：本站为三级加油站</w:t>
      </w:r>
      <w:r>
        <w:rPr>
          <w:rFonts w:hint="eastAsia" w:ascii="宋体"/>
          <w:color w:val="auto"/>
        </w:rPr>
        <w:t>。</w:t>
      </w:r>
    </w:p>
    <w:p w14:paraId="1832ED2C">
      <w:pPr>
        <w:rPr>
          <w:rFonts w:hint="eastAsia" w:ascii="黑体" w:eastAsia="黑体"/>
          <w:b/>
          <w:bCs/>
          <w:kern w:val="44"/>
          <w:sz w:val="32"/>
          <w:szCs w:val="32"/>
        </w:rPr>
      </w:pPr>
      <w:r>
        <w:rPr>
          <w:rFonts w:hint="eastAsia" w:ascii="黑体" w:eastAsia="黑体"/>
          <w:b/>
          <w:bCs/>
          <w:kern w:val="44"/>
          <w:sz w:val="32"/>
          <w:szCs w:val="32"/>
        </w:rPr>
        <w:br w:type="page"/>
      </w:r>
    </w:p>
    <w:p w14:paraId="41C0FFF0">
      <w:pPr>
        <w:adjustRightInd w:val="0"/>
        <w:snapToGrid w:val="0"/>
        <w:spacing w:before="468" w:beforeLines="150" w:after="156" w:afterLines="50" w:line="360" w:lineRule="auto"/>
        <w:jc w:val="center"/>
        <w:outlineLvl w:val="0"/>
        <w:rPr>
          <w:rFonts w:hint="eastAsia" w:ascii="黑体" w:eastAsia="黑体"/>
          <w:sz w:val="32"/>
          <w:szCs w:val="32"/>
        </w:rPr>
      </w:pPr>
      <w:r>
        <w:rPr>
          <w:rFonts w:hint="eastAsia" w:ascii="黑体" w:eastAsia="黑体"/>
          <w:b/>
          <w:bCs/>
          <w:sz w:val="32"/>
          <w:szCs w:val="32"/>
        </w:rPr>
        <w:t>4 安全经营条件</w:t>
      </w:r>
    </w:p>
    <w:p w14:paraId="2ABABEBD">
      <w:pPr>
        <w:pStyle w:val="2"/>
        <w:adjustRightInd w:val="0"/>
        <w:snapToGrid w:val="0"/>
        <w:spacing w:before="0" w:after="0" w:line="360" w:lineRule="auto"/>
        <w:jc w:val="center"/>
        <w:rPr>
          <w:rFonts w:hint="eastAsia" w:ascii="楷体_GB2312" w:eastAsia="楷体_GB2312"/>
        </w:rPr>
      </w:pPr>
      <w:bookmarkStart w:id="2" w:name="_Toc24253"/>
      <w:r>
        <w:rPr>
          <w:rFonts w:hint="eastAsia" w:ascii="楷体_GB2312" w:eastAsia="楷体_GB2312"/>
        </w:rPr>
        <w:t>4.1 评价单元划分</w:t>
      </w:r>
      <w:bookmarkEnd w:id="2"/>
    </w:p>
    <w:p w14:paraId="39D8E1B5">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根据中国石化山东泰山石油股份有限公司泰安第六十六加油站双罐双线更换项目的特点，本次安全评价划分为4个单元，即安全管理、站址选择及总平面布置、加油工艺及设施、其它设施。</w:t>
      </w:r>
    </w:p>
    <w:p w14:paraId="46FC68A7">
      <w:pPr>
        <w:pStyle w:val="2"/>
        <w:adjustRightInd w:val="0"/>
        <w:snapToGrid w:val="0"/>
        <w:spacing w:before="0" w:after="0" w:line="360" w:lineRule="auto"/>
        <w:jc w:val="center"/>
        <w:rPr>
          <w:rFonts w:hint="eastAsia" w:ascii="楷体_GB2312" w:eastAsia="楷体_GB2312"/>
        </w:rPr>
      </w:pPr>
      <w:bookmarkStart w:id="3" w:name="_Toc2379"/>
      <w:r>
        <w:rPr>
          <w:rFonts w:hint="eastAsia" w:ascii="楷体_GB2312" w:eastAsia="楷体_GB2312"/>
        </w:rPr>
        <w:t>4.2 评价方法选择</w:t>
      </w:r>
      <w:bookmarkEnd w:id="3"/>
    </w:p>
    <w:p w14:paraId="0CCBC521">
      <w:pPr>
        <w:adjustRightInd w:val="0"/>
        <w:snapToGrid w:val="0"/>
        <w:spacing w:line="360" w:lineRule="auto"/>
        <w:ind w:firstLine="562" w:firstLineChars="200"/>
        <w:outlineLvl w:val="2"/>
        <w:rPr>
          <w:rFonts w:hint="eastAsia" w:ascii="黑体" w:hAnsi="宋体" w:eastAsia="黑体"/>
          <w:b/>
          <w:sz w:val="28"/>
          <w:szCs w:val="28"/>
        </w:rPr>
      </w:pPr>
      <w:r>
        <w:rPr>
          <w:rFonts w:hint="eastAsia" w:ascii="黑体" w:hAnsi="宋体" w:eastAsia="黑体"/>
          <w:b/>
          <w:sz w:val="28"/>
          <w:szCs w:val="28"/>
        </w:rPr>
        <w:t>4.2.1 评价方法选用表</w:t>
      </w:r>
    </w:p>
    <w:p w14:paraId="7E999E48">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首先,我们运用安全检查表的方法对本项目的设计进行检查，确定本项目的总体安全性。然后，根据各评价单元的特点选择适合的评价方法进行评价，具体方法选择见表4.2-1。</w:t>
      </w:r>
    </w:p>
    <w:p w14:paraId="7FF323F2">
      <w:pPr>
        <w:pStyle w:val="20"/>
        <w:adjustRightInd w:val="0"/>
        <w:snapToGrid w:val="0"/>
        <w:spacing w:line="360" w:lineRule="auto"/>
        <w:outlineLvl w:val="9"/>
        <w:rPr>
          <w:rFonts w:hint="eastAsia"/>
          <w:color w:val="auto"/>
        </w:rPr>
      </w:pPr>
      <w:r>
        <w:rPr>
          <w:rFonts w:hint="eastAsia"/>
          <w:color w:val="auto"/>
        </w:rPr>
        <w:t>表4.2-1 评价方法选用表</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3197"/>
        <w:gridCol w:w="3760"/>
      </w:tblGrid>
      <w:tr w14:paraId="14817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5" w:type="pct"/>
            <w:noWrap w:val="0"/>
            <w:vAlign w:val="center"/>
          </w:tcPr>
          <w:p w14:paraId="7349C641">
            <w:pPr>
              <w:pStyle w:val="22"/>
              <w:adjustRightInd w:val="0"/>
              <w:spacing w:line="360" w:lineRule="auto"/>
              <w:rPr>
                <w:rFonts w:hint="eastAsia" w:ascii="宋体" w:hAnsi="宋体"/>
                <w:snapToGrid/>
                <w:kern w:val="2"/>
              </w:rPr>
            </w:pPr>
            <w:r>
              <w:rPr>
                <w:rFonts w:hint="eastAsia" w:ascii="宋体" w:hAnsi="宋体"/>
                <w:snapToGrid/>
                <w:kern w:val="2"/>
              </w:rPr>
              <w:t>序号</w:t>
            </w:r>
          </w:p>
        </w:tc>
        <w:tc>
          <w:tcPr>
            <w:tcW w:w="1721" w:type="pct"/>
            <w:noWrap w:val="0"/>
            <w:vAlign w:val="center"/>
          </w:tcPr>
          <w:p w14:paraId="70920058">
            <w:pPr>
              <w:pStyle w:val="22"/>
              <w:adjustRightInd w:val="0"/>
              <w:spacing w:line="360" w:lineRule="auto"/>
              <w:rPr>
                <w:rFonts w:hint="eastAsia" w:ascii="宋体" w:hAnsi="宋体"/>
                <w:snapToGrid/>
                <w:kern w:val="2"/>
              </w:rPr>
            </w:pPr>
            <w:r>
              <w:rPr>
                <w:rFonts w:hint="eastAsia" w:ascii="宋体" w:hAnsi="宋体"/>
                <w:snapToGrid/>
                <w:kern w:val="2"/>
              </w:rPr>
              <w:t>评价单元名称</w:t>
            </w:r>
          </w:p>
        </w:tc>
        <w:tc>
          <w:tcPr>
            <w:tcW w:w="2024" w:type="pct"/>
            <w:noWrap w:val="0"/>
            <w:vAlign w:val="center"/>
          </w:tcPr>
          <w:p w14:paraId="42F9F3EE">
            <w:pPr>
              <w:pStyle w:val="22"/>
              <w:adjustRightInd w:val="0"/>
              <w:spacing w:line="360" w:lineRule="auto"/>
              <w:rPr>
                <w:rFonts w:hint="eastAsia" w:ascii="宋体" w:hAnsi="宋体"/>
                <w:snapToGrid/>
                <w:kern w:val="2"/>
              </w:rPr>
            </w:pPr>
            <w:r>
              <w:rPr>
                <w:rFonts w:hint="eastAsia" w:ascii="宋体" w:hAnsi="宋体"/>
                <w:snapToGrid/>
                <w:kern w:val="2"/>
              </w:rPr>
              <w:t>采用的评价方法</w:t>
            </w:r>
          </w:p>
        </w:tc>
      </w:tr>
      <w:tr w14:paraId="42627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55" w:type="pct"/>
            <w:noWrap w:val="0"/>
            <w:vAlign w:val="center"/>
          </w:tcPr>
          <w:p w14:paraId="42E9E7FC">
            <w:pPr>
              <w:pStyle w:val="22"/>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1</w:t>
            </w:r>
          </w:p>
        </w:tc>
        <w:tc>
          <w:tcPr>
            <w:tcW w:w="1721" w:type="pct"/>
            <w:noWrap w:val="0"/>
            <w:vAlign w:val="center"/>
          </w:tcPr>
          <w:p w14:paraId="35513117">
            <w:pPr>
              <w:adjustRightInd w:val="0"/>
              <w:snapToGrid w:val="0"/>
              <w:spacing w:line="360" w:lineRule="auto"/>
              <w:jc w:val="center"/>
              <w:rPr>
                <w:rFonts w:hint="eastAsia" w:ascii="宋体" w:hAnsi="宋体"/>
              </w:rPr>
            </w:pPr>
            <w:r>
              <w:rPr>
                <w:rFonts w:hint="eastAsia"/>
                <w:szCs w:val="28"/>
              </w:rPr>
              <w:t>安全管理</w:t>
            </w:r>
          </w:p>
        </w:tc>
        <w:tc>
          <w:tcPr>
            <w:tcW w:w="2024" w:type="pct"/>
            <w:noWrap w:val="0"/>
            <w:vAlign w:val="center"/>
          </w:tcPr>
          <w:p w14:paraId="4B43B16D">
            <w:pPr>
              <w:pStyle w:val="22"/>
              <w:adjustRightInd w:val="0"/>
              <w:spacing w:line="360" w:lineRule="auto"/>
              <w:rPr>
                <w:rFonts w:hint="eastAsia" w:ascii="宋体" w:hAnsi="宋体"/>
                <w:snapToGrid/>
                <w:kern w:val="2"/>
              </w:rPr>
            </w:pPr>
            <w:r>
              <w:rPr>
                <w:rFonts w:hint="eastAsia" w:ascii="宋体" w:hAnsi="宋体"/>
                <w:snapToGrid/>
                <w:kern w:val="2"/>
              </w:rPr>
              <w:t>安全检查表</w:t>
            </w:r>
          </w:p>
        </w:tc>
      </w:tr>
      <w:tr w14:paraId="68036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255" w:type="pct"/>
            <w:noWrap w:val="0"/>
            <w:vAlign w:val="center"/>
          </w:tcPr>
          <w:p w14:paraId="356C3075">
            <w:pPr>
              <w:pStyle w:val="22"/>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2</w:t>
            </w:r>
          </w:p>
        </w:tc>
        <w:tc>
          <w:tcPr>
            <w:tcW w:w="1721" w:type="pct"/>
            <w:noWrap w:val="0"/>
            <w:vAlign w:val="center"/>
          </w:tcPr>
          <w:p w14:paraId="63F07C4D">
            <w:pPr>
              <w:adjustRightInd w:val="0"/>
              <w:snapToGrid w:val="0"/>
              <w:spacing w:line="360" w:lineRule="auto"/>
              <w:jc w:val="center"/>
              <w:rPr>
                <w:rFonts w:hint="eastAsia" w:ascii="宋体" w:hAnsi="宋体"/>
              </w:rPr>
            </w:pPr>
            <w:r>
              <w:rPr>
                <w:rFonts w:hint="eastAsia"/>
                <w:szCs w:val="28"/>
              </w:rPr>
              <w:t>站址选择</w:t>
            </w:r>
            <w:r>
              <w:rPr>
                <w:rFonts w:hint="eastAsia" w:ascii="宋体" w:hAnsi="宋体"/>
              </w:rPr>
              <w:t>总平面布置</w:t>
            </w:r>
          </w:p>
        </w:tc>
        <w:tc>
          <w:tcPr>
            <w:tcW w:w="2024" w:type="pct"/>
            <w:noWrap w:val="0"/>
            <w:vAlign w:val="center"/>
          </w:tcPr>
          <w:p w14:paraId="607A4613">
            <w:pPr>
              <w:pStyle w:val="22"/>
              <w:adjustRightInd w:val="0"/>
              <w:spacing w:line="360" w:lineRule="auto"/>
              <w:rPr>
                <w:rFonts w:hint="eastAsia" w:ascii="宋体" w:hAnsi="宋体"/>
                <w:snapToGrid/>
                <w:kern w:val="2"/>
              </w:rPr>
            </w:pPr>
            <w:r>
              <w:rPr>
                <w:rFonts w:hint="eastAsia" w:ascii="宋体" w:hAnsi="宋体"/>
                <w:snapToGrid/>
                <w:kern w:val="2"/>
              </w:rPr>
              <w:t>安全检查表</w:t>
            </w:r>
          </w:p>
        </w:tc>
      </w:tr>
      <w:tr w14:paraId="6DDA6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55" w:type="pct"/>
            <w:noWrap w:val="0"/>
            <w:vAlign w:val="center"/>
          </w:tcPr>
          <w:p w14:paraId="26460F91">
            <w:pPr>
              <w:pStyle w:val="22"/>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3</w:t>
            </w:r>
          </w:p>
        </w:tc>
        <w:tc>
          <w:tcPr>
            <w:tcW w:w="1721" w:type="pct"/>
            <w:noWrap w:val="0"/>
            <w:vAlign w:val="center"/>
          </w:tcPr>
          <w:p w14:paraId="6E0FD5AD">
            <w:pPr>
              <w:adjustRightInd w:val="0"/>
              <w:snapToGrid w:val="0"/>
              <w:spacing w:line="360" w:lineRule="auto"/>
              <w:jc w:val="center"/>
              <w:rPr>
                <w:rFonts w:hint="eastAsia" w:ascii="宋体" w:hAnsi="宋体"/>
              </w:rPr>
            </w:pPr>
            <w:r>
              <w:rPr>
                <w:rFonts w:hint="eastAsia"/>
                <w:szCs w:val="28"/>
              </w:rPr>
              <w:t>加油工艺及设施</w:t>
            </w:r>
          </w:p>
        </w:tc>
        <w:tc>
          <w:tcPr>
            <w:tcW w:w="2024" w:type="pct"/>
            <w:noWrap w:val="0"/>
            <w:vAlign w:val="center"/>
          </w:tcPr>
          <w:p w14:paraId="404D2E5F">
            <w:pPr>
              <w:pStyle w:val="22"/>
              <w:adjustRightInd w:val="0"/>
              <w:spacing w:line="360" w:lineRule="auto"/>
              <w:rPr>
                <w:rFonts w:hint="eastAsia" w:ascii="宋体" w:hAnsi="宋体"/>
                <w:snapToGrid/>
                <w:kern w:val="2"/>
                <w:szCs w:val="21"/>
              </w:rPr>
            </w:pPr>
            <w:r>
              <w:rPr>
                <w:rFonts w:hint="eastAsia" w:ascii="宋体" w:hAnsi="宋体"/>
                <w:snapToGrid/>
                <w:kern w:val="2"/>
                <w:szCs w:val="21"/>
              </w:rPr>
              <w:t>安全检查表、PHA、事故树</w:t>
            </w:r>
          </w:p>
        </w:tc>
      </w:tr>
      <w:tr w14:paraId="4D063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55" w:type="pct"/>
            <w:noWrap w:val="0"/>
            <w:vAlign w:val="center"/>
          </w:tcPr>
          <w:p w14:paraId="3650D34E">
            <w:pPr>
              <w:pStyle w:val="22"/>
              <w:adjustRightInd w:val="0"/>
              <w:spacing w:line="360" w:lineRule="auto"/>
              <w:rPr>
                <w:rFonts w:hint="eastAsia" w:ascii="宋体" w:hAnsi="宋体"/>
                <w:snapToGrid/>
                <w:kern w:val="2"/>
                <w:sz w:val="24"/>
              </w:rPr>
            </w:pPr>
            <w:r>
              <w:rPr>
                <w:rFonts w:hint="eastAsia" w:ascii="宋体" w:hAnsi="宋体"/>
                <w:snapToGrid/>
                <w:kern w:val="2"/>
                <w:sz w:val="24"/>
              </w:rPr>
              <w:t>P</w:t>
            </w:r>
            <w:r>
              <w:rPr>
                <w:rFonts w:hint="eastAsia" w:ascii="宋体" w:hAnsi="宋体"/>
                <w:snapToGrid/>
                <w:kern w:val="2"/>
                <w:sz w:val="24"/>
                <w:vertAlign w:val="subscript"/>
              </w:rPr>
              <w:t>4</w:t>
            </w:r>
          </w:p>
        </w:tc>
        <w:tc>
          <w:tcPr>
            <w:tcW w:w="1721" w:type="pct"/>
            <w:noWrap w:val="0"/>
            <w:vAlign w:val="center"/>
          </w:tcPr>
          <w:p w14:paraId="7FEB4E7C">
            <w:pPr>
              <w:adjustRightInd w:val="0"/>
              <w:snapToGrid w:val="0"/>
              <w:spacing w:line="360" w:lineRule="auto"/>
              <w:jc w:val="center"/>
              <w:rPr>
                <w:rFonts w:hint="eastAsia" w:ascii="宋体" w:hAnsi="宋体"/>
              </w:rPr>
            </w:pPr>
            <w:r>
              <w:rPr>
                <w:rFonts w:hint="eastAsia" w:ascii="宋体" w:hAnsi="宋体"/>
                <w:szCs w:val="28"/>
              </w:rPr>
              <w:t>其它设施</w:t>
            </w:r>
          </w:p>
        </w:tc>
        <w:tc>
          <w:tcPr>
            <w:tcW w:w="2024" w:type="pct"/>
            <w:noWrap w:val="0"/>
            <w:vAlign w:val="center"/>
          </w:tcPr>
          <w:p w14:paraId="7EEC4353">
            <w:pPr>
              <w:widowControl/>
              <w:adjustRightInd w:val="0"/>
              <w:snapToGrid w:val="0"/>
              <w:spacing w:line="360" w:lineRule="auto"/>
              <w:jc w:val="center"/>
              <w:rPr>
                <w:rFonts w:hint="eastAsia" w:ascii="宋体" w:hAnsi="宋体"/>
              </w:rPr>
            </w:pPr>
            <w:r>
              <w:rPr>
                <w:rFonts w:hint="eastAsia" w:ascii="宋体" w:hAnsi="宋体"/>
              </w:rPr>
              <w:t>安全检查表</w:t>
            </w:r>
          </w:p>
        </w:tc>
      </w:tr>
    </w:tbl>
    <w:p w14:paraId="551A0814">
      <w:pPr>
        <w:adjustRightInd w:val="0"/>
        <w:snapToGrid w:val="0"/>
        <w:spacing w:line="360" w:lineRule="auto"/>
        <w:ind w:firstLine="562" w:firstLineChars="200"/>
        <w:outlineLvl w:val="2"/>
        <w:rPr>
          <w:rFonts w:hint="eastAsia" w:ascii="黑体" w:hAnsi="宋体" w:eastAsia="黑体"/>
          <w:b/>
          <w:sz w:val="28"/>
          <w:szCs w:val="28"/>
        </w:rPr>
      </w:pPr>
      <w:r>
        <w:rPr>
          <w:rFonts w:hint="eastAsia" w:ascii="黑体" w:hAnsi="宋体" w:eastAsia="黑体"/>
          <w:b/>
          <w:sz w:val="28"/>
          <w:szCs w:val="28"/>
        </w:rPr>
        <w:t>4.2.2 评价方法选用说明</w:t>
      </w:r>
    </w:p>
    <w:p w14:paraId="55E7AC66">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（1）对上述4个评价单元采用安全检查表法，判断设计、安装中涉及的安全设施及对策措施的充分性。</w:t>
      </w:r>
    </w:p>
    <w:p w14:paraId="4096A29F">
      <w:pPr>
        <w:adjustRightInd w:val="0"/>
        <w:snapToGrid w:val="0"/>
        <w:spacing w:line="360" w:lineRule="auto"/>
        <w:ind w:firstLine="560" w:firstLineChars="200"/>
        <w:rPr>
          <w:rFonts w:hint="eastAsia" w:ascii="宋体" w:hAnsi="宋体"/>
          <w:snapToGrid w:val="0"/>
          <w:spacing w:val="0"/>
          <w:kern w:val="0"/>
          <w:sz w:val="28"/>
        </w:rPr>
      </w:pPr>
      <w:r>
        <w:rPr>
          <w:rFonts w:hint="eastAsia" w:ascii="宋体" w:hAnsi="宋体"/>
          <w:snapToGrid w:val="0"/>
          <w:spacing w:val="0"/>
          <w:kern w:val="0"/>
          <w:sz w:val="28"/>
        </w:rPr>
        <w:t>（2）对上述4个评价单元存在的危险、有害因素采用预先危险性分析法（PHA），预测各危险、有害因素的固有危险、有害程度。</w:t>
      </w:r>
    </w:p>
    <w:p w14:paraId="0F3CC909">
      <w:pPr>
        <w:pStyle w:val="13"/>
        <w:widowControl w:val="0"/>
        <w:spacing w:line="360" w:lineRule="auto"/>
        <w:ind w:firstLine="420"/>
        <w:rPr>
          <w:rFonts w:hint="eastAsia" w:ascii="黑体" w:hAnsi="黑体" w:eastAsia="宋体"/>
          <w:highlight w:val="none"/>
          <w:lang w:eastAsia="zh-CN"/>
        </w:rPr>
      </w:pPr>
      <w:r>
        <w:rPr>
          <w:rFonts w:hint="eastAsia" w:ascii="宋体" w:hAnsi="宋体"/>
          <w:snapToGrid w:val="0"/>
          <w:spacing w:val="0"/>
          <w:kern w:val="0"/>
          <w:sz w:val="28"/>
        </w:rPr>
        <w:t>（3）通过事故树分析详细查明系统各种固有、潜在的危险因素或事故原因，为项目正式运营制定安全技术对策、采取安全管理措施和事故分析提供依据</w:t>
      </w:r>
      <w:r>
        <w:rPr>
          <w:rFonts w:hint="eastAsia" w:ascii="宋体" w:hAnsi="宋体"/>
          <w:snapToGrid w:val="0"/>
          <w:spacing w:val="0"/>
          <w:kern w:val="0"/>
          <w:sz w:val="28"/>
          <w:lang w:eastAsia="zh-CN"/>
        </w:rPr>
        <w:t>。</w:t>
      </w:r>
    </w:p>
    <w:p w14:paraId="3A54D439">
      <w:pPr>
        <w:pStyle w:val="4"/>
        <w:rPr>
          <w:rFonts w:hint="default"/>
          <w:lang w:val="en-US" w:eastAsia="zh-CN"/>
        </w:rPr>
      </w:pPr>
    </w:p>
    <w:p w14:paraId="4B2E43E4">
      <w:pPr>
        <w:pStyle w:val="2"/>
        <w:adjustRightInd w:val="0"/>
        <w:snapToGrid w:val="0"/>
        <w:spacing w:before="0" w:after="0" w:line="360" w:lineRule="auto"/>
        <w:jc w:val="center"/>
        <w:rPr>
          <w:rFonts w:hint="eastAsia" w:ascii="楷体_GB2312" w:eastAsia="楷体_GB2312"/>
        </w:rPr>
      </w:pPr>
      <w:bookmarkStart w:id="4" w:name="_Toc30305"/>
      <w:r>
        <w:rPr>
          <w:rFonts w:hint="eastAsia" w:ascii="楷体_GB2312" w:eastAsia="楷体_GB2312"/>
        </w:rPr>
        <w:t>8.2 存在问题及改进建议</w:t>
      </w:r>
      <w:bookmarkEnd w:id="4"/>
    </w:p>
    <w:p w14:paraId="1EDD1D6F">
      <w:pPr>
        <w:adjustRightInd w:val="0"/>
        <w:snapToGrid w:val="0"/>
        <w:spacing w:line="360" w:lineRule="auto"/>
        <w:ind w:firstLine="562" w:firstLineChars="200"/>
        <w:outlineLvl w:val="2"/>
        <w:rPr>
          <w:rFonts w:hint="eastAsia" w:ascii="黑体" w:hAnsi="黑体" w:eastAsia="黑体" w:cs="黑体"/>
          <w:b/>
          <w:sz w:val="28"/>
          <w:szCs w:val="28"/>
        </w:rPr>
      </w:pPr>
      <w:r>
        <w:rPr>
          <w:rFonts w:hint="eastAsia" w:ascii="黑体" w:hAnsi="黑体" w:eastAsia="黑体" w:cs="黑体"/>
          <w:b/>
          <w:sz w:val="28"/>
          <w:szCs w:val="28"/>
        </w:rPr>
        <w:t>8.2.1存在问题</w:t>
      </w:r>
    </w:p>
    <w:p w14:paraId="09D72B66">
      <w:pPr>
        <w:pStyle w:val="20"/>
        <w:adjustRightInd w:val="0"/>
        <w:snapToGrid w:val="0"/>
        <w:spacing w:line="360" w:lineRule="auto"/>
        <w:outlineLvl w:val="9"/>
        <w:rPr>
          <w:rFonts w:hint="eastAsia" w:ascii="黑体" w:hAnsi="黑体"/>
          <w:color w:val="auto"/>
        </w:rPr>
      </w:pPr>
      <w:r>
        <w:rPr>
          <w:rFonts w:hint="eastAsia" w:ascii="黑体" w:hAnsi="黑体"/>
          <w:color w:val="auto"/>
        </w:rPr>
        <w:t>表8.2-1  现场存在问题表</w:t>
      </w:r>
    </w:p>
    <w:tbl>
      <w:tblPr>
        <w:tblStyle w:val="6"/>
        <w:tblW w:w="94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698"/>
        <w:gridCol w:w="4903"/>
      </w:tblGrid>
      <w:tr w14:paraId="0DD2F0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818" w:type="dxa"/>
            <w:noWrap w:val="0"/>
            <w:vAlign w:val="center"/>
          </w:tcPr>
          <w:p w14:paraId="1302F026">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序号</w:t>
            </w:r>
          </w:p>
        </w:tc>
        <w:tc>
          <w:tcPr>
            <w:tcW w:w="3698" w:type="dxa"/>
            <w:noWrap w:val="0"/>
            <w:vAlign w:val="center"/>
          </w:tcPr>
          <w:p w14:paraId="318E41E7">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企业存在的问题</w:t>
            </w:r>
          </w:p>
        </w:tc>
        <w:tc>
          <w:tcPr>
            <w:tcW w:w="4903" w:type="dxa"/>
            <w:noWrap w:val="0"/>
            <w:vAlign w:val="center"/>
          </w:tcPr>
          <w:p w14:paraId="617BC59A">
            <w:pPr>
              <w:widowControl/>
              <w:tabs>
                <w:tab w:val="left" w:pos="6120"/>
              </w:tabs>
              <w:adjustRightInd w:val="0"/>
              <w:snapToGrid w:val="0"/>
              <w:spacing w:before="24" w:beforeLines="10" w:after="24" w:afterLines="10" w:line="320" w:lineRule="exact"/>
              <w:jc w:val="center"/>
              <w:textAlignment w:val="baseline"/>
              <w:rPr>
                <w:rFonts w:hint="eastAsia" w:ascii="宋体" w:hAnsi="宋体" w:cs="宋体"/>
                <w:b/>
                <w:bCs/>
                <w:kern w:val="0"/>
                <w:position w:val="2"/>
                <w:u w:val="none" w:color="000000"/>
              </w:rPr>
            </w:pPr>
            <w:r>
              <w:rPr>
                <w:rFonts w:hint="eastAsia" w:ascii="宋体" w:hAnsi="宋体" w:cs="宋体"/>
                <w:b/>
                <w:bCs/>
                <w:kern w:val="0"/>
                <w:position w:val="2"/>
                <w:u w:val="none" w:color="000000"/>
              </w:rPr>
              <w:t>整改建议措施</w:t>
            </w:r>
          </w:p>
        </w:tc>
      </w:tr>
      <w:tr w14:paraId="234663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0B5E6DCB">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1</w:t>
            </w:r>
          </w:p>
        </w:tc>
        <w:tc>
          <w:tcPr>
            <w:tcW w:w="3698" w:type="dxa"/>
            <w:noWrap w:val="0"/>
            <w:vAlign w:val="center"/>
          </w:tcPr>
          <w:p w14:paraId="7C2421E0">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kern w:val="0"/>
                <w:u w:val="none" w:color="000000"/>
              </w:rPr>
              <w:t>现场安全标识缺失，卸油口、油罐未设置油品标识，人孔井内管道未设介质流向标识；</w:t>
            </w:r>
          </w:p>
        </w:tc>
        <w:tc>
          <w:tcPr>
            <w:tcW w:w="4903" w:type="dxa"/>
            <w:noWrap w:val="0"/>
            <w:vAlign w:val="center"/>
          </w:tcPr>
          <w:p w14:paraId="4BDB7660">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kern w:val="0"/>
                <w:u w:val="none" w:color="000000"/>
              </w:rPr>
              <w:t>应补充完善站区安全标识；</w:t>
            </w:r>
          </w:p>
        </w:tc>
      </w:tr>
      <w:tr w14:paraId="4FC40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46F84DB4">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2</w:t>
            </w:r>
          </w:p>
        </w:tc>
        <w:tc>
          <w:tcPr>
            <w:tcW w:w="3698" w:type="dxa"/>
            <w:noWrap w:val="0"/>
            <w:vAlign w:val="center"/>
          </w:tcPr>
          <w:p w14:paraId="5FCAA6E8">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rPr>
              <w:t>加油区未设置灭火器；</w:t>
            </w:r>
          </w:p>
        </w:tc>
        <w:tc>
          <w:tcPr>
            <w:tcW w:w="4903" w:type="dxa"/>
            <w:noWrap w:val="0"/>
            <w:vAlign w:val="center"/>
          </w:tcPr>
          <w:p w14:paraId="70E98B64">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rPr>
              <w:t>加油区应按要求配备灭火器；</w:t>
            </w:r>
          </w:p>
        </w:tc>
      </w:tr>
      <w:tr w14:paraId="37CF41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8" w:type="dxa"/>
            <w:noWrap w:val="0"/>
            <w:vAlign w:val="center"/>
          </w:tcPr>
          <w:p w14:paraId="5899F9CB">
            <w:pPr>
              <w:widowControl/>
              <w:tabs>
                <w:tab w:val="left" w:pos="6120"/>
              </w:tabs>
              <w:adjustRightInd w:val="0"/>
              <w:snapToGrid w:val="0"/>
              <w:jc w:val="center"/>
              <w:textAlignment w:val="baseline"/>
              <w:rPr>
                <w:rFonts w:hint="eastAsia" w:ascii="宋体" w:hAnsi="宋体" w:cs="宋体"/>
                <w:bCs/>
                <w:kern w:val="0"/>
                <w:position w:val="2"/>
                <w:u w:val="none" w:color="000000"/>
              </w:rPr>
            </w:pPr>
            <w:r>
              <w:rPr>
                <w:rFonts w:hint="eastAsia" w:ascii="宋体" w:hAnsi="宋体" w:cs="宋体"/>
                <w:bCs/>
                <w:kern w:val="0"/>
                <w:position w:val="2"/>
                <w:u w:val="none" w:color="000000"/>
              </w:rPr>
              <w:t>3</w:t>
            </w:r>
          </w:p>
        </w:tc>
        <w:tc>
          <w:tcPr>
            <w:tcW w:w="3698" w:type="dxa"/>
            <w:noWrap w:val="0"/>
            <w:vAlign w:val="center"/>
          </w:tcPr>
          <w:p w14:paraId="7F9BCD41">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rPr>
              <w:t>液位仪、测漏仪未正常使用。</w:t>
            </w:r>
          </w:p>
        </w:tc>
        <w:tc>
          <w:tcPr>
            <w:tcW w:w="4903" w:type="dxa"/>
            <w:noWrap w:val="0"/>
            <w:vAlign w:val="center"/>
          </w:tcPr>
          <w:p w14:paraId="40277236">
            <w:pPr>
              <w:widowControl/>
              <w:tabs>
                <w:tab w:val="left" w:pos="6120"/>
              </w:tabs>
              <w:adjustRightInd w:val="0"/>
              <w:snapToGrid w:val="0"/>
              <w:jc w:val="center"/>
              <w:textAlignment w:val="baseline"/>
              <w:rPr>
                <w:rFonts w:ascii="宋体" w:hAnsi="宋体" w:cs="宋体"/>
                <w:kern w:val="0"/>
                <w:u w:val="none" w:color="000000"/>
              </w:rPr>
            </w:pPr>
            <w:r>
              <w:rPr>
                <w:rFonts w:hint="eastAsia" w:ascii="宋体" w:hAnsi="宋体" w:cs="宋体"/>
                <w:kern w:val="0"/>
                <w:u w:val="none" w:color="000000"/>
              </w:rPr>
              <w:t>液位仪、测漏仪应正常使用。</w:t>
            </w:r>
          </w:p>
        </w:tc>
      </w:tr>
    </w:tbl>
    <w:p w14:paraId="53A81B3B">
      <w:pPr>
        <w:pStyle w:val="4"/>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2A00B829">
      <w:pPr>
        <w:pStyle w:val="4"/>
        <w:spacing w:line="240" w:lineRule="auto"/>
        <w:ind w:left="0" w:leftChars="0" w:firstLine="0" w:firstLineChars="0"/>
        <w:rPr>
          <w:rFonts w:hint="default"/>
          <w:lang w:val="en-US" w:eastAsia="zh-CN"/>
        </w:rPr>
      </w:pPr>
      <w:bookmarkStart w:id="5" w:name="_GoBack"/>
      <w:r>
        <w:rPr>
          <w:rFonts w:hint="default"/>
          <w:lang w:val="en-US" w:eastAsia="zh-CN"/>
        </w:rPr>
        <w:drawing>
          <wp:inline distT="0" distB="0" distL="114300" distR="114300">
            <wp:extent cx="8082280" cy="4885690"/>
            <wp:effectExtent l="0" t="0" r="10160" b="13970"/>
            <wp:docPr id="8" name="图片 8" descr="复查整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复查整改"/>
                    <pic:cNvPicPr>
                      <a:picLocks noChangeAspect="1"/>
                    </pic:cNvPicPr>
                  </pic:nvPicPr>
                  <pic:blipFill>
                    <a:blip r:embed="rId6"/>
                    <a:stretch>
                      <a:fillRect/>
                    </a:stretch>
                  </pic:blipFill>
                  <pic:spPr>
                    <a:xfrm rot="16200000">
                      <a:off x="0" y="0"/>
                      <a:ext cx="8082280" cy="4885690"/>
                    </a:xfrm>
                    <a:prstGeom prst="rect">
                      <a:avLst/>
                    </a:prstGeom>
                  </pic:spPr>
                </pic:pic>
              </a:graphicData>
            </a:graphic>
          </wp:inline>
        </w:drawing>
      </w:r>
      <w:bookmarkEnd w:id="5"/>
      <w:r>
        <w:rPr>
          <w:rFonts w:hint="default"/>
          <w:lang w:val="en-US" w:eastAsia="zh-CN"/>
        </w:rPr>
        <w:drawing>
          <wp:inline distT="0" distB="0" distL="114300" distR="114300">
            <wp:extent cx="5758815" cy="8764905"/>
            <wp:effectExtent l="0" t="0" r="13335" b="17145"/>
            <wp:docPr id="7" name="图片 7" descr="结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结论"/>
                    <pic:cNvPicPr>
                      <a:picLocks noChangeAspect="1"/>
                    </pic:cNvPicPr>
                  </pic:nvPicPr>
                  <pic:blipFill>
                    <a:blip r:embed="rId7"/>
                    <a:stretch>
                      <a:fillRect/>
                    </a:stretch>
                  </pic:blipFill>
                  <pic:spPr>
                    <a:xfrm>
                      <a:off x="0" y="0"/>
                      <a:ext cx="5758815" cy="876490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CC63D7"/>
    <w:rsid w:val="09D5345C"/>
    <w:rsid w:val="0A27015B"/>
    <w:rsid w:val="0BD51C61"/>
    <w:rsid w:val="0EDC1223"/>
    <w:rsid w:val="13D12EE6"/>
    <w:rsid w:val="14605BE0"/>
    <w:rsid w:val="153C4810"/>
    <w:rsid w:val="15840046"/>
    <w:rsid w:val="16BC1C2B"/>
    <w:rsid w:val="1835406A"/>
    <w:rsid w:val="19CA0B03"/>
    <w:rsid w:val="1E042CE6"/>
    <w:rsid w:val="1E1E483E"/>
    <w:rsid w:val="22CB7136"/>
    <w:rsid w:val="284F788D"/>
    <w:rsid w:val="2A9D36CA"/>
    <w:rsid w:val="2EC41433"/>
    <w:rsid w:val="355F439E"/>
    <w:rsid w:val="35CC29B8"/>
    <w:rsid w:val="3BB85D78"/>
    <w:rsid w:val="420C1409"/>
    <w:rsid w:val="44982BA2"/>
    <w:rsid w:val="4706325F"/>
    <w:rsid w:val="48FE4AE5"/>
    <w:rsid w:val="4C5E6D05"/>
    <w:rsid w:val="537F016A"/>
    <w:rsid w:val="55AE53B4"/>
    <w:rsid w:val="563D798B"/>
    <w:rsid w:val="567C6788"/>
    <w:rsid w:val="579A241E"/>
    <w:rsid w:val="5BAE1A28"/>
    <w:rsid w:val="6AD40467"/>
    <w:rsid w:val="6BF95CAB"/>
    <w:rsid w:val="6D0669CA"/>
    <w:rsid w:val="717A11AE"/>
    <w:rsid w:val="72FD2CFB"/>
    <w:rsid w:val="751669E8"/>
    <w:rsid w:val="7772596D"/>
    <w:rsid w:val="7AB02F22"/>
    <w:rsid w:val="7F70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pacing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Plain Text"/>
    <w:basedOn w:val="1"/>
    <w:unhideWhenUsed/>
    <w:qFormat/>
    <w:uiPriority w:val="99"/>
    <w:rPr>
      <w:rFonts w:ascii="宋体" w:hAnsi="Courier New"/>
      <w:kern w:val="0"/>
      <w:sz w:val="20"/>
      <w:szCs w:val="20"/>
    </w:rPr>
  </w:style>
  <w:style w:type="paragraph" w:customStyle="1" w:styleId="8">
    <w:name w:val="Default"/>
    <w:next w:val="1"/>
    <w:qFormat/>
    <w:uiPriority w:val="99"/>
    <w:pPr>
      <w:widowControl w:val="0"/>
      <w:autoSpaceDE w:val="0"/>
      <w:autoSpaceDN w:val="0"/>
      <w:adjustRightInd w:val="0"/>
      <w:jc w:val="both"/>
    </w:pPr>
    <w:rPr>
      <w:rFonts w:ascii="仿宋_GB2312" w:hAnsi="Courier New" w:eastAsia="仿宋_GB2312" w:cs="仿宋_GB2312"/>
      <w:color w:val="000000"/>
      <w:kern w:val="2"/>
      <w:sz w:val="24"/>
      <w:szCs w:val="24"/>
      <w:lang w:val="en-US" w:eastAsia="zh-CN" w:bidi="ar-SA"/>
    </w:rPr>
  </w:style>
  <w:style w:type="paragraph" w:customStyle="1" w:styleId="9">
    <w:name w:val="111"/>
    <w:basedOn w:val="10"/>
    <w:qFormat/>
    <w:uiPriority w:val="0"/>
    <w:pPr>
      <w:widowControl/>
      <w:spacing w:beforeAutospacing="0" w:afterAutospacing="0"/>
      <w:jc w:val="left"/>
    </w:pPr>
    <w:rPr>
      <w:rFonts w:ascii="宋体" w:hAnsi="宋体" w:eastAsia="宋体" w:cs="宋体"/>
      <w:kern w:val="0"/>
      <w:sz w:val="24"/>
      <w:szCs w:val="24"/>
    </w:rPr>
  </w:style>
  <w:style w:type="paragraph" w:customStyle="1" w:styleId="10">
    <w:name w:val="题目"/>
    <w:basedOn w:val="1"/>
    <w:qFormat/>
    <w:uiPriority w:val="0"/>
    <w:pPr>
      <w:jc w:val="center"/>
      <w:outlineLvl w:val="0"/>
    </w:pPr>
    <w:rPr>
      <w:rFonts w:ascii="黑体" w:hAnsi="黑体" w:eastAsia="黑体"/>
      <w:sz w:val="32"/>
      <w:szCs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4">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5">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6">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7">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8">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9">
    <w:name w:val="表内文字"/>
    <w:basedOn w:val="5"/>
    <w:qFormat/>
    <w:uiPriority w:val="0"/>
    <w:pPr>
      <w:spacing w:line="320" w:lineRule="exact"/>
      <w:jc w:val="center"/>
    </w:pPr>
    <w:rPr>
      <w:rFonts w:ascii="Times New Roman" w:hAnsi="Times New Roman"/>
      <w:kern w:val="2"/>
      <w:sz w:val="21"/>
      <w:szCs w:val="21"/>
      <w:u w:color="000000"/>
    </w:rPr>
  </w:style>
  <w:style w:type="paragraph" w:customStyle="1" w:styleId="20">
    <w:name w:val="6表格标题"/>
    <w:basedOn w:val="21"/>
    <w:qFormat/>
    <w:uiPriority w:val="0"/>
    <w:pPr>
      <w:widowControl/>
      <w:spacing w:line="520" w:lineRule="exact"/>
      <w:jc w:val="center"/>
      <w:outlineLvl w:val="4"/>
    </w:pPr>
    <w:rPr>
      <w:color w:val="FF0000"/>
    </w:rPr>
  </w:style>
  <w:style w:type="paragraph" w:customStyle="1" w:styleId="21">
    <w:name w:val="评价表格标题"/>
    <w:qFormat/>
    <w:uiPriority w:val="99"/>
    <w:pPr>
      <w:spacing w:line="400" w:lineRule="exact"/>
      <w:jc w:val="center"/>
    </w:pPr>
    <w:rPr>
      <w:rFonts w:ascii="Times New Roman" w:hAnsi="Times New Roman" w:eastAsia="黑体" w:cs="Times New Roman"/>
      <w:color w:val="000000"/>
      <w:sz w:val="24"/>
      <w:szCs w:val="24"/>
      <w:lang w:val="en-US" w:eastAsia="zh-CN" w:bidi="ar-SA"/>
    </w:rPr>
  </w:style>
  <w:style w:type="paragraph" w:customStyle="1" w:styleId="22">
    <w:name w:val="正文1"/>
    <w:basedOn w:val="1"/>
    <w:qFormat/>
    <w:uiPriority w:val="0"/>
    <w:pPr>
      <w:snapToGrid w:val="0"/>
      <w:spacing w:line="360" w:lineRule="exact"/>
      <w:jc w:val="center"/>
    </w:pPr>
    <w:rPr>
      <w:snapToGrid w:val="0"/>
      <w:kern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2024</Words>
  <Characters>2240</Characters>
  <Lines>0</Lines>
  <Paragraphs>0</Paragraphs>
  <TotalTime>7</TotalTime>
  <ScaleCrop>false</ScaleCrop>
  <LinksUpToDate>false</LinksUpToDate>
  <CharactersWithSpaces>2271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cp:lastModifiedBy>
  <dcterms:modified xsi:type="dcterms:W3CDTF">2024-08-02T02:59:11Z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158E41C4130D45F7BB2A42425FB8946B_11</vt:lpwstr>
  </property>
</Properties>
</file>