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</w:rPr>
      </w:pPr>
      <w:r>
        <w:rPr>
          <w:rFonts w:hint="eastAsia"/>
          <w:color w:val="auto"/>
        </w:rPr>
        <w:t>安全评价报告</w:t>
      </w:r>
      <w:r>
        <w:rPr>
          <w:color w:val="auto"/>
        </w:rPr>
        <w:t>公开信息表</w:t>
      </w:r>
    </w:p>
    <w:tbl>
      <w:tblPr>
        <w:tblStyle w:val="1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658"/>
        <w:gridCol w:w="486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ascii="宋体" w:hAnsi="宋体" w:eastAsia="宋体" w:cs="Times New Roman"/>
                <w:color w:val="auto"/>
              </w:rPr>
              <w:t>项目名称</w:t>
            </w:r>
          </w:p>
        </w:tc>
        <w:tc>
          <w:tcPr>
            <w:tcW w:w="75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left"/>
              <w:rPr>
                <w:rFonts w:hint="default" w:ascii="宋体" w:hAnsi="宋体" w:eastAsia="宋体" w:cs="Times New Roman"/>
                <w:color w:val="auto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察右后旗贲红镇西大井加油站设立安全评价报告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ascii="宋体" w:hAnsi="宋体" w:eastAsia="宋体" w:cs="Times New Roman"/>
                <w:color w:val="auto"/>
              </w:rPr>
              <w:t>完成时间</w:t>
            </w:r>
          </w:p>
        </w:tc>
        <w:tc>
          <w:tcPr>
            <w:tcW w:w="75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left"/>
              <w:rPr>
                <w:rFonts w:hint="default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2022.03.14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5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姓名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资格证书号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从业号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  <w:r>
              <w:rPr>
                <w:color w:val="auto"/>
              </w:rPr>
              <w:t>项目负责人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塔  娜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1700000000200088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031074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  <w:r>
              <w:rPr>
                <w:color w:val="auto"/>
              </w:rPr>
              <w:t>项目组成员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李春燕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S011011000110202000401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040642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韦根远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S011044000110191001083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028179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赵云峰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S011037000110191000735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030095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陈武斌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1100000000300371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019967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塔  娜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1700000000200088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031074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  <w:r>
              <w:rPr>
                <w:color w:val="auto"/>
              </w:rPr>
              <w:t>技术专家</w:t>
            </w:r>
          </w:p>
        </w:tc>
        <w:tc>
          <w:tcPr>
            <w:tcW w:w="75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  <w:r>
              <w:rPr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  <w:r>
              <w:rPr>
                <w:color w:val="auto"/>
              </w:rPr>
              <w:t>现场勘察人员及时间</w:t>
            </w:r>
          </w:p>
        </w:tc>
        <w:tc>
          <w:tcPr>
            <w:tcW w:w="75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塔娜、李春燕 2022.03.01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现场核查的人员和时间</w:t>
            </w:r>
          </w:p>
        </w:tc>
        <w:tc>
          <w:tcPr>
            <w:tcW w:w="75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9" w:hRule="atLeast"/>
          <w:jc w:val="center"/>
        </w:trPr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  <w:r>
              <w:rPr>
                <w:color w:val="auto"/>
              </w:rPr>
              <w:t>项目简介</w:t>
            </w:r>
          </w:p>
        </w:tc>
        <w:tc>
          <w:tcPr>
            <w:tcW w:w="7581" w:type="dxa"/>
            <w:gridSpan w:val="3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拟建项目经营的危险化学品有液化天然气（LNG）。</w:t>
            </w:r>
            <w:r>
              <w:rPr>
                <w:rFonts w:hint="eastAsia"/>
                <w:color w:val="auto"/>
                <w:lang w:val="en-US" w:eastAsia="zh-CN"/>
              </w:rPr>
              <w:t>新建LNG撬装设备一座</w:t>
            </w:r>
            <w:r>
              <w:rPr>
                <w:rFonts w:hint="eastAsia"/>
                <w:color w:val="auto"/>
                <w:lang w:eastAsia="zh-CN"/>
              </w:rPr>
              <w:t>，容积</w:t>
            </w:r>
            <w:r>
              <w:rPr>
                <w:rFonts w:hint="eastAsia"/>
                <w:color w:val="auto"/>
                <w:lang w:val="en-US" w:eastAsia="zh-CN"/>
              </w:rPr>
              <w:t>60</w:t>
            </w:r>
            <w:r>
              <w:rPr>
                <w:rFonts w:hint="eastAsia"/>
                <w:color w:val="auto"/>
                <w:lang w:eastAsia="zh-CN"/>
              </w:rPr>
              <w:t>m3。加油站</w:t>
            </w:r>
            <w:r>
              <w:rPr>
                <w:rFonts w:hint="eastAsia"/>
                <w:color w:val="auto"/>
                <w:lang w:val="en-US" w:eastAsia="zh-CN"/>
              </w:rPr>
              <w:t>原有</w:t>
            </w:r>
            <w:r>
              <w:rPr>
                <w:rFonts w:hint="eastAsia"/>
                <w:color w:val="auto"/>
                <w:lang w:eastAsia="zh-CN"/>
              </w:rPr>
              <w:t>埋地</w:t>
            </w:r>
            <w:r>
              <w:rPr>
                <w:rFonts w:hint="eastAsia"/>
                <w:color w:val="auto"/>
                <w:lang w:val="en-US" w:eastAsia="zh-CN"/>
              </w:rPr>
              <w:t>柴油</w:t>
            </w:r>
            <w:r>
              <w:rPr>
                <w:rFonts w:hint="eastAsia"/>
                <w:color w:val="auto"/>
                <w:lang w:eastAsia="zh-CN"/>
              </w:rPr>
              <w:t>储罐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  <w:lang w:eastAsia="zh-CN"/>
              </w:rPr>
              <w:t>座（</w:t>
            </w:r>
            <w:r>
              <w:rPr>
                <w:rFonts w:hint="eastAsia"/>
                <w:color w:val="auto"/>
                <w:lang w:val="en-US" w:eastAsia="zh-CN"/>
              </w:rPr>
              <w:t>其中对1座柴油储罐进行冲沙填埋，已停用</w:t>
            </w:r>
            <w:r>
              <w:rPr>
                <w:rFonts w:hint="eastAsia"/>
                <w:color w:val="auto"/>
                <w:lang w:eastAsia="zh-CN"/>
              </w:rPr>
              <w:t>），单罐容积</w:t>
            </w:r>
            <w:r>
              <w:rPr>
                <w:rFonts w:hint="eastAsia"/>
                <w:color w:val="auto"/>
                <w:lang w:val="en-US" w:eastAsia="zh-CN"/>
              </w:rPr>
              <w:t>均为50</w:t>
            </w:r>
            <w:r>
              <w:rPr>
                <w:rFonts w:hint="eastAsia"/>
                <w:color w:val="auto"/>
                <w:lang w:eastAsia="zh-CN"/>
              </w:rPr>
              <w:t>m3：</w:t>
            </w:r>
            <w:r>
              <w:rPr>
                <w:rFonts w:hint="eastAsia"/>
                <w:color w:val="auto"/>
                <w:lang w:val="en-US" w:eastAsia="zh-CN"/>
              </w:rPr>
              <w:t>原有</w:t>
            </w:r>
            <w:r>
              <w:rPr>
                <w:rFonts w:hint="eastAsia"/>
                <w:color w:val="auto"/>
                <w:lang w:eastAsia="zh-CN"/>
              </w:rPr>
              <w:t>埋地</w:t>
            </w:r>
            <w:r>
              <w:rPr>
                <w:rFonts w:hint="eastAsia"/>
                <w:color w:val="auto"/>
                <w:lang w:val="en-US" w:eastAsia="zh-CN"/>
              </w:rPr>
              <w:t>汽油</w:t>
            </w:r>
            <w:r>
              <w:rPr>
                <w:rFonts w:hint="eastAsia"/>
                <w:color w:val="auto"/>
                <w:lang w:eastAsia="zh-CN"/>
              </w:rPr>
              <w:t>储罐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eastAsia="zh-CN"/>
              </w:rPr>
              <w:t>座，单罐容积</w:t>
            </w:r>
            <w:r>
              <w:rPr>
                <w:rFonts w:hint="eastAsia"/>
                <w:color w:val="auto"/>
                <w:lang w:val="en-US" w:eastAsia="zh-CN"/>
              </w:rPr>
              <w:t>均为50</w:t>
            </w:r>
            <w:r>
              <w:rPr>
                <w:rFonts w:hint="eastAsia"/>
                <w:color w:val="auto"/>
                <w:lang w:eastAsia="zh-CN"/>
              </w:rPr>
              <w:t>m3，折算油罐总容积为</w:t>
            </w:r>
            <w:r>
              <w:rPr>
                <w:rFonts w:hint="eastAsia"/>
                <w:color w:val="auto"/>
                <w:lang w:val="en-US" w:eastAsia="zh-CN"/>
              </w:rPr>
              <w:t>150</w:t>
            </w:r>
            <w:r>
              <w:rPr>
                <w:rFonts w:hint="eastAsia"/>
                <w:color w:val="auto"/>
                <w:lang w:eastAsia="zh-CN"/>
              </w:rPr>
              <w:t>m3。根据</w:t>
            </w:r>
            <w:r>
              <w:rPr>
                <w:rFonts w:hint="eastAsia"/>
                <w:color w:val="auto"/>
                <w:lang w:val="en-US" w:eastAsia="zh-CN"/>
              </w:rPr>
              <w:t>VO1/240+VLNG1/180≤1，150/240+60/180=0.96＜1，</w:t>
            </w:r>
            <w:r>
              <w:rPr>
                <w:rFonts w:hint="eastAsia"/>
                <w:color w:val="auto"/>
                <w:lang w:eastAsia="zh-CN"/>
              </w:rPr>
              <w:t>因此拟建项目属于</w:t>
            </w:r>
            <w:r>
              <w:rPr>
                <w:rFonts w:hint="eastAsia"/>
                <w:color w:val="auto"/>
                <w:lang w:val="en-US" w:eastAsia="zh-CN"/>
              </w:rPr>
              <w:t>一</w:t>
            </w:r>
            <w:r>
              <w:rPr>
                <w:rFonts w:hint="eastAsia"/>
                <w:color w:val="auto"/>
                <w:lang w:eastAsia="zh-CN"/>
              </w:rPr>
              <w:t>级加油与LNG加气合建站。</w:t>
            </w:r>
          </w:p>
          <w:p>
            <w:pPr>
              <w:jc w:val="both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16"/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评价结论：</w:t>
            </w:r>
            <w:r>
              <w:rPr>
                <w:rFonts w:hint="eastAsia"/>
                <w:color w:val="auto"/>
                <w:lang w:val="en-US" w:eastAsia="zh-CN"/>
              </w:rPr>
              <w:t>察右后旗贲红镇西大井加油站</w:t>
            </w:r>
            <w:r>
              <w:rPr>
                <w:rFonts w:hint="eastAsia"/>
                <w:color w:val="auto"/>
                <w:lang w:eastAsia="zh-CN"/>
              </w:rPr>
              <w:t>安全条件和安全设施符合国家相关法律法规及规范标准的要求。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  <w:r>
              <w:rPr>
                <w:rFonts w:ascii="宋体" w:hAnsi="宋体" w:eastAsia="宋体" w:cs="Times New Roman"/>
                <w:color w:val="auto"/>
              </w:rPr>
              <w:t>现场照片</w:t>
            </w:r>
          </w:p>
        </w:tc>
        <w:tc>
          <w:tcPr>
            <w:tcW w:w="7581" w:type="dxa"/>
            <w:gridSpan w:val="3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16"/>
              <w:bidi w:val="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16"/>
              <w:bidi w:val="0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drawing>
                <wp:inline distT="0" distB="0" distL="114300" distR="114300">
                  <wp:extent cx="5213350" cy="2774950"/>
                  <wp:effectExtent l="0" t="0" r="6350" b="6350"/>
                  <wp:docPr id="4" name="图片 4" descr="5deccb8f1d5379cb5f5470e8374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deccb8f1d5379cb5f5470e837455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0" cy="277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color w:val="auto"/>
                <w:lang w:val="en-US" w:eastAsia="zh-CN"/>
              </w:rPr>
              <w:drawing>
                <wp:inline distT="0" distB="0" distL="114300" distR="114300">
                  <wp:extent cx="5309235" cy="2692400"/>
                  <wp:effectExtent l="0" t="0" r="5715" b="12700"/>
                  <wp:docPr id="1" name="图片 1" descr="西大井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西大井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9235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color w:val="auto"/>
                <w:lang w:val="en-US" w:eastAsia="zh-CN"/>
              </w:rPr>
              <w:drawing>
                <wp:inline distT="0" distB="0" distL="114300" distR="114300">
                  <wp:extent cx="5288915" cy="2654935"/>
                  <wp:effectExtent l="0" t="0" r="6985" b="12065"/>
                  <wp:docPr id="2" name="图片 2" descr="cef8d014af407995f268199898a1b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ef8d014af407995f268199898a1bf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915" cy="265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  <w:r>
              <w:rPr>
                <w:color w:val="auto"/>
              </w:rPr>
              <w:t>被评价单位信息反馈情况</w:t>
            </w:r>
          </w:p>
        </w:tc>
        <w:tc>
          <w:tcPr>
            <w:tcW w:w="75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  <w:r>
              <w:rPr>
                <w:color w:val="auto"/>
              </w:rPr>
              <w:t>满意</w:t>
            </w: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</w:rPr>
      </w:pPr>
      <w:r>
        <w:rPr>
          <w:rFonts w:hint="eastAsia"/>
          <w:color w:val="auto"/>
        </w:rPr>
        <w:t>安全评价报告</w:t>
      </w:r>
      <w:r>
        <w:rPr>
          <w:color w:val="auto"/>
        </w:rPr>
        <w:t>公开信息表</w:t>
      </w:r>
    </w:p>
    <w:tbl>
      <w:tblPr>
        <w:tblStyle w:val="1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755"/>
        <w:gridCol w:w="5165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项目名称</w:t>
            </w:r>
          </w:p>
        </w:tc>
        <w:tc>
          <w:tcPr>
            <w:tcW w:w="771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rFonts w:hint="eastAsia" w:ascii="Times New Roman" w:hAnsi="Times New Roman"/>
                <w:color w:val="auto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中国石油天然气股份有限公司</w:t>
            </w:r>
            <w:r>
              <w:rPr>
                <w:rFonts w:hint="eastAsia" w:ascii="Times New Roman" w:hAnsi="Times New Roman"/>
                <w:color w:val="auto"/>
                <w:szCs w:val="28"/>
                <w:lang w:eastAsia="zh-CN"/>
              </w:rPr>
              <w:t>内蒙古巴彦淖尔乌拉特前旗黑柳子加油站</w:t>
            </w:r>
          </w:p>
          <w:p>
            <w:pPr>
              <w:pStyle w:val="16"/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8"/>
                <w:lang w:eastAsia="zh-CN"/>
              </w:rPr>
              <w:t>安全现状评价报告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完成时间</w:t>
            </w:r>
          </w:p>
        </w:tc>
        <w:tc>
          <w:tcPr>
            <w:tcW w:w="771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姓名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资格证书号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从业号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项目负责人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塔  娜</w:t>
            </w:r>
          </w:p>
        </w:tc>
        <w:tc>
          <w:tcPr>
            <w:tcW w:w="4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color w:val="auto"/>
                <w:spacing w:val="-4"/>
                <w:kern w:val="0"/>
                <w:sz w:val="24"/>
              </w:rPr>
              <w:t>1700000000200088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color w:val="auto"/>
                <w:spacing w:val="-4"/>
                <w:kern w:val="0"/>
                <w:sz w:val="24"/>
              </w:rPr>
              <w:t>031074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项目组成员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李春燕</w:t>
            </w:r>
          </w:p>
        </w:tc>
        <w:tc>
          <w:tcPr>
            <w:tcW w:w="4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4"/>
                <w:kern w:val="0"/>
                <w:sz w:val="24"/>
              </w:rPr>
              <w:t>S011011000110202000401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4"/>
                <w:kern w:val="0"/>
                <w:sz w:val="24"/>
              </w:rPr>
              <w:t>040642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韦根远</w:t>
            </w:r>
          </w:p>
        </w:tc>
        <w:tc>
          <w:tcPr>
            <w:tcW w:w="4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4"/>
                <w:kern w:val="0"/>
                <w:sz w:val="24"/>
              </w:rPr>
              <w:t xml:space="preserve"> S011044000110191001083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4"/>
                <w:kern w:val="0"/>
                <w:sz w:val="24"/>
              </w:rPr>
              <w:t>028179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赵云峰</w:t>
            </w:r>
          </w:p>
        </w:tc>
        <w:tc>
          <w:tcPr>
            <w:tcW w:w="4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color w:val="auto"/>
                <w:spacing w:val="-4"/>
                <w:kern w:val="0"/>
                <w:sz w:val="24"/>
              </w:rPr>
              <w:t>S011037000110191000735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030095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陈武斌</w:t>
            </w:r>
          </w:p>
        </w:tc>
        <w:tc>
          <w:tcPr>
            <w:tcW w:w="4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lang w:val="en-US" w:eastAsia="zh-CN"/>
              </w:rPr>
              <w:t>1100000000300371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019967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技术专家</w:t>
            </w:r>
          </w:p>
        </w:tc>
        <w:tc>
          <w:tcPr>
            <w:tcW w:w="771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  <w:r>
              <w:rPr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现场勘察人员及时间</w:t>
            </w:r>
          </w:p>
        </w:tc>
        <w:tc>
          <w:tcPr>
            <w:tcW w:w="771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塔娜、李春燕 2022.03.06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现场核查的人员和时间</w:t>
            </w:r>
          </w:p>
        </w:tc>
        <w:tc>
          <w:tcPr>
            <w:tcW w:w="771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项目简介</w:t>
            </w:r>
          </w:p>
        </w:tc>
        <w:tc>
          <w:tcPr>
            <w:tcW w:w="771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color w:val="auto"/>
              </w:rPr>
            </w:pPr>
            <w:r>
              <w:rPr>
                <w:color w:val="auto"/>
              </w:rPr>
              <w:t>被评价单位：中国石油天然气股份有限公司</w:t>
            </w:r>
            <w:r>
              <w:rPr>
                <w:rFonts w:hint="eastAsia"/>
                <w:color w:val="auto"/>
                <w:lang w:eastAsia="zh-CN"/>
              </w:rPr>
              <w:t>内蒙古巴彦淖尔乌拉特前旗黑柳子加油站</w:t>
            </w:r>
            <w:r>
              <w:rPr>
                <w:color w:val="auto"/>
              </w:rPr>
              <w:t>（以下简称</w:t>
            </w:r>
            <w:r>
              <w:rPr>
                <w:rFonts w:hint="eastAsia"/>
                <w:color w:val="auto"/>
              </w:rPr>
              <w:t>“</w:t>
            </w:r>
            <w:r>
              <w:rPr>
                <w:color w:val="auto"/>
              </w:rPr>
              <w:t>该站</w:t>
            </w:r>
            <w:r>
              <w:rPr>
                <w:rFonts w:hint="eastAsia"/>
                <w:color w:val="auto"/>
              </w:rPr>
              <w:t>”</w:t>
            </w:r>
            <w:r>
              <w:rPr>
                <w:color w:val="auto"/>
              </w:rPr>
              <w:t>）</w:t>
            </w:r>
          </w:p>
          <w:p>
            <w:pPr>
              <w:pStyle w:val="16"/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>住所：</w:t>
            </w:r>
            <w:r>
              <w:rPr>
                <w:rFonts w:hint="eastAsia"/>
                <w:color w:val="auto"/>
                <w:lang w:eastAsia="zh-CN"/>
              </w:rPr>
              <w:t>乌拉特前旗巴音花镇乌宝力格嘎查</w:t>
            </w:r>
          </w:p>
          <w:p>
            <w:pPr>
              <w:pStyle w:val="16"/>
              <w:bidi w:val="0"/>
              <w:rPr>
                <w:color w:val="auto"/>
              </w:rPr>
            </w:pPr>
            <w:r>
              <w:rPr>
                <w:color w:val="auto"/>
              </w:rPr>
              <w:t>负责人：秦瑞雪</w:t>
            </w:r>
          </w:p>
          <w:p>
            <w:pPr>
              <w:pStyle w:val="16"/>
              <w:bidi w:val="0"/>
              <w:rPr>
                <w:color w:val="auto"/>
              </w:rPr>
            </w:pPr>
            <w:r>
              <w:rPr>
                <w:color w:val="auto"/>
              </w:rPr>
              <w:t>类型：股份有限公司分公司（上市、国有控股）</w:t>
            </w:r>
          </w:p>
          <w:p>
            <w:pPr>
              <w:pStyle w:val="16"/>
              <w:bidi w:val="0"/>
              <w:rPr>
                <w:color w:val="auto"/>
              </w:rPr>
            </w:pPr>
            <w:r>
              <w:rPr>
                <w:color w:val="auto"/>
              </w:rPr>
              <w:t>成立日期：</w:t>
            </w:r>
            <w:r>
              <w:rPr>
                <w:rFonts w:hint="eastAsia"/>
                <w:color w:val="auto"/>
                <w:lang w:val="en-US" w:eastAsia="zh-CN"/>
              </w:rPr>
              <w:t>2013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04</w:t>
            </w:r>
            <w:r>
              <w:rPr>
                <w:color w:val="auto"/>
              </w:rPr>
              <w:t>月2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color w:val="auto"/>
              </w:rPr>
              <w:t>日</w:t>
            </w:r>
          </w:p>
          <w:p>
            <w:pPr>
              <w:pStyle w:val="16"/>
              <w:bidi w:val="0"/>
              <w:rPr>
                <w:color w:val="auto"/>
              </w:rPr>
            </w:pPr>
            <w:r>
              <w:rPr>
                <w:color w:val="auto"/>
              </w:rPr>
              <w:t>经营范围：汽油、煤油、柴油、预包装食品（含冷藏、冷冻）特殊食品（保健食品）、文化体育用品、五金、家具、室内装饰材料、家用电器、电子产品、计生用品(需前置审批许可的项目除外)、劳保用品(除控制品)的零售；广告业务；汽车清洗服务；烟、沥青、轮胎、润滑油、日用百货、汽车零配件、化工产品（除危险品）、农用物质（除专项审批）、化肥经营、办公用品销售、房屋和机械设备的租赁；汽车美容装饰；电子称重服务；(依法须经批准的项目，经相关部门批准后方可开展经营活动)。</w:t>
            </w:r>
          </w:p>
          <w:p>
            <w:pPr>
              <w:pStyle w:val="16"/>
              <w:bidi w:val="0"/>
              <w:rPr>
                <w:color w:val="auto"/>
              </w:rPr>
            </w:pPr>
            <w:r>
              <w:rPr>
                <w:color w:val="auto"/>
              </w:rPr>
              <w:t>该加油站于20</w:t>
            </w:r>
            <w:r>
              <w:rPr>
                <w:rFonts w:hint="eastAsia"/>
                <w:color w:val="auto"/>
                <w:lang w:val="en-US" w:eastAsia="zh-CN"/>
              </w:rPr>
              <w:t>19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color w:val="auto"/>
              </w:rPr>
              <w:t>日换证取得了《危险化学品经营许可证》，登记编号：蒙L应急管经字[201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color w:val="auto"/>
              </w:rPr>
              <w:t>]000</w:t>
            </w:r>
            <w:r>
              <w:rPr>
                <w:rFonts w:hint="eastAsia"/>
                <w:color w:val="auto"/>
                <w:lang w:val="en-US" w:eastAsia="zh-CN"/>
              </w:rPr>
              <w:t>015</w:t>
            </w:r>
            <w:r>
              <w:rPr>
                <w:color w:val="auto"/>
              </w:rPr>
              <w:t>号，有效期限20</w:t>
            </w:r>
            <w:r>
              <w:rPr>
                <w:rFonts w:hint="eastAsia"/>
                <w:color w:val="auto"/>
                <w:lang w:val="en-US" w:eastAsia="zh-CN"/>
              </w:rPr>
              <w:t>19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color w:val="auto"/>
              </w:rPr>
              <w:t>日至</w:t>
            </w:r>
            <w:r>
              <w:rPr>
                <w:rFonts w:hint="eastAsia"/>
                <w:color w:val="auto"/>
                <w:lang w:val="en-US" w:eastAsia="zh-CN"/>
              </w:rPr>
              <w:t>2022年4月9日</w:t>
            </w:r>
            <w:r>
              <w:rPr>
                <w:color w:val="auto"/>
              </w:rPr>
              <w:t>；经营油品：汽油、柴油。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现场照片</w:t>
            </w:r>
          </w:p>
        </w:tc>
        <w:tc>
          <w:tcPr>
            <w:tcW w:w="771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drawing>
                <wp:inline distT="0" distB="0" distL="114300" distR="114300">
                  <wp:extent cx="4886325" cy="2304415"/>
                  <wp:effectExtent l="0" t="0" r="9525" b="635"/>
                  <wp:docPr id="3" name="图片 3" descr="eb04916422c777381c98303254b8c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b04916422c777381c98303254b8c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325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被评价单位信息反馈情况</w:t>
            </w:r>
          </w:p>
        </w:tc>
        <w:tc>
          <w:tcPr>
            <w:tcW w:w="771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满意</w:t>
            </w:r>
          </w:p>
        </w:tc>
      </w:tr>
    </w:tbl>
    <w:p>
      <w:pPr>
        <w:pStyle w:val="8"/>
        <w:ind w:left="0" w:leftChars="0" w:firstLine="0" w:firstLineChars="0"/>
        <w:rPr>
          <w:color w:val="auto"/>
        </w:rPr>
      </w:pPr>
    </w:p>
    <w:sectPr>
      <w:footerReference r:id="rId3" w:type="default"/>
      <w:pgSz w:w="11906" w:h="16838"/>
      <w:pgMar w:top="1417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yZTI4NTE3MjliNDcwYWQ3NDkxNWVhNzg2ZTcyZjkifQ=="/>
  </w:docVars>
  <w:rsids>
    <w:rsidRoot w:val="00E3751A"/>
    <w:rsid w:val="00047227"/>
    <w:rsid w:val="00303C12"/>
    <w:rsid w:val="004D1AF7"/>
    <w:rsid w:val="00756850"/>
    <w:rsid w:val="00C75118"/>
    <w:rsid w:val="00C82162"/>
    <w:rsid w:val="00E3751A"/>
    <w:rsid w:val="01381A2C"/>
    <w:rsid w:val="067C6F0E"/>
    <w:rsid w:val="06EF6353"/>
    <w:rsid w:val="07D32EB9"/>
    <w:rsid w:val="0A3600A6"/>
    <w:rsid w:val="0C9C2862"/>
    <w:rsid w:val="0E3F46A1"/>
    <w:rsid w:val="0E53337E"/>
    <w:rsid w:val="15440B37"/>
    <w:rsid w:val="1683496B"/>
    <w:rsid w:val="17810296"/>
    <w:rsid w:val="17C601C4"/>
    <w:rsid w:val="188D103C"/>
    <w:rsid w:val="18CA2EBE"/>
    <w:rsid w:val="1A511214"/>
    <w:rsid w:val="1B9F4DB7"/>
    <w:rsid w:val="1CD17A8D"/>
    <w:rsid w:val="1D7F5852"/>
    <w:rsid w:val="23356346"/>
    <w:rsid w:val="23767606"/>
    <w:rsid w:val="276E1EEA"/>
    <w:rsid w:val="29925FE1"/>
    <w:rsid w:val="29F53ECF"/>
    <w:rsid w:val="2AF93B6E"/>
    <w:rsid w:val="2E046C06"/>
    <w:rsid w:val="32CC6EE2"/>
    <w:rsid w:val="385C2AEB"/>
    <w:rsid w:val="38CD6232"/>
    <w:rsid w:val="3C7D28D5"/>
    <w:rsid w:val="3E4E4FAF"/>
    <w:rsid w:val="40083152"/>
    <w:rsid w:val="41912F5E"/>
    <w:rsid w:val="42C53343"/>
    <w:rsid w:val="43C0308C"/>
    <w:rsid w:val="48EC5AF0"/>
    <w:rsid w:val="4E3D5914"/>
    <w:rsid w:val="52E07D49"/>
    <w:rsid w:val="54345BD2"/>
    <w:rsid w:val="57800B40"/>
    <w:rsid w:val="584826DD"/>
    <w:rsid w:val="5A435025"/>
    <w:rsid w:val="5BF832F3"/>
    <w:rsid w:val="5D7A2F6F"/>
    <w:rsid w:val="60B460AF"/>
    <w:rsid w:val="658063A7"/>
    <w:rsid w:val="66C53C4A"/>
    <w:rsid w:val="67600A2D"/>
    <w:rsid w:val="6AA57F27"/>
    <w:rsid w:val="6BD4664B"/>
    <w:rsid w:val="6CB1098B"/>
    <w:rsid w:val="6D1139EB"/>
    <w:rsid w:val="6F3D1DEF"/>
    <w:rsid w:val="6F523385"/>
    <w:rsid w:val="6F67290E"/>
    <w:rsid w:val="72D3406A"/>
    <w:rsid w:val="737D1DEA"/>
    <w:rsid w:val="73AA2228"/>
    <w:rsid w:val="75816D2C"/>
    <w:rsid w:val="76E25EB6"/>
    <w:rsid w:val="77832F9B"/>
    <w:rsid w:val="79302291"/>
    <w:rsid w:val="79AF6F1F"/>
    <w:rsid w:val="7AD10B53"/>
    <w:rsid w:val="7B914393"/>
    <w:rsid w:val="7C30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pageBreakBefore w:val="0"/>
      <w:widowControl w:val="0"/>
      <w:jc w:val="center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7">
    <w:name w:val="heading 2"/>
    <w:basedOn w:val="1"/>
    <w:next w:val="1"/>
    <w:qFormat/>
    <w:uiPriority w:val="0"/>
    <w:pPr>
      <w:keepNext/>
      <w:keepLines/>
      <w:snapToGrid w:val="0"/>
      <w:spacing w:beforeLines="50" w:afterLines="50"/>
      <w:outlineLvl w:val="1"/>
    </w:pPr>
    <w:rPr>
      <w:rFonts w:eastAsia="楷体_GB2312" w:cs="MS Gothic"/>
      <w:b/>
      <w:snapToGrid w:val="0"/>
      <w:kern w:val="0"/>
      <w:sz w:val="32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2"/>
    <w:qFormat/>
    <w:uiPriority w:val="0"/>
    <w:pPr>
      <w:spacing w:after="120"/>
      <w:ind w:firstLine="420" w:firstLineChars="100"/>
    </w:pPr>
  </w:style>
  <w:style w:type="paragraph" w:styleId="5">
    <w:name w:val="Body Text"/>
    <w:basedOn w:val="1"/>
    <w:qFormat/>
    <w:uiPriority w:val="99"/>
    <w:rPr>
      <w:sz w:val="28"/>
      <w:szCs w:val="28"/>
    </w:rPr>
  </w:style>
  <w:style w:type="paragraph" w:styleId="8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仿宋_GB2312"/>
      <w:kern w:val="0"/>
      <w:sz w:val="28"/>
      <w:szCs w:val="20"/>
    </w:r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next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next w:val="12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toc 84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6">
    <w:name w:val="表格"/>
    <w:basedOn w:val="1"/>
    <w:next w:val="1"/>
    <w:qFormat/>
    <w:uiPriority w:val="0"/>
    <w:pPr>
      <w:adjustRightInd w:val="0"/>
      <w:snapToGrid w:val="0"/>
      <w:spacing w:line="240" w:lineRule="auto"/>
      <w:ind w:firstLine="0" w:firstLineChars="0"/>
      <w:jc w:val="both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8">
    <w:name w:val="样式 标题 2"/>
    <w:basedOn w:val="7"/>
    <w:qFormat/>
    <w:uiPriority w:val="0"/>
    <w:pPr>
      <w:spacing w:beforeLines="0" w:afterLines="0"/>
    </w:pPr>
    <w:rPr>
      <w:rFonts w:ascii="Arial" w:hAnsi="Arial" w:eastAsia="宋体" w:cs="宋体"/>
      <w:snapToGrid/>
      <w:kern w:val="2"/>
      <w:szCs w:val="32"/>
      <w:lang w:val="zh-CN"/>
    </w:rPr>
  </w:style>
  <w:style w:type="paragraph" w:customStyle="1" w:styleId="19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1">
    <w:name w:val="批注框文本 Char"/>
    <w:basedOn w:val="15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2">
    <w:name w:val="111"/>
    <w:basedOn w:val="1"/>
    <w:qFormat/>
    <w:uiPriority w:val="99"/>
    <w:pPr>
      <w:widowControl/>
      <w:tabs>
        <w:tab w:val="left" w:pos="0"/>
      </w:tabs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正文样式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890</Words>
  <Characters>1259</Characters>
  <Lines>7</Lines>
  <Paragraphs>2</Paragraphs>
  <TotalTime>2</TotalTime>
  <ScaleCrop>false</ScaleCrop>
  <LinksUpToDate>false</LinksUpToDate>
  <CharactersWithSpaces>1269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Administrator</cp:lastModifiedBy>
  <dcterms:modified xsi:type="dcterms:W3CDTF">2023-03-15T06:43:09Z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3D417A7DA0144CEDA15801581E78EFE2</vt:lpwstr>
  </property>
</Properties>
</file>